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rFonts w:ascii="Times New Roman"/>
          <w:sz w:val="20"/>
        </w:rPr>
      </w:pPr>
    </w:p>
    <w:p>
      <w:pPr>
        <w:pStyle w:val="10"/>
        <w:spacing w:before="8"/>
        <w:rPr>
          <w:rFonts w:ascii="Times New Roman"/>
          <w:sz w:val="24"/>
        </w:rPr>
      </w:pPr>
    </w:p>
    <w:p>
      <w:pPr>
        <w:keepNext w:val="0"/>
        <w:keepLines w:val="0"/>
        <w:pageBreakBefore w:val="0"/>
        <w:widowControl w:val="0"/>
        <w:kinsoku/>
        <w:wordWrap/>
        <w:overflowPunct/>
        <w:topLinePunct w:val="0"/>
        <w:autoSpaceDE w:val="0"/>
        <w:autoSpaceDN w:val="0"/>
        <w:bidi w:val="0"/>
        <w:adjustRightInd/>
        <w:snapToGrid/>
        <w:spacing w:before="153" w:line="600" w:lineRule="exact"/>
        <w:ind w:left="0" w:right="17" w:firstLine="0"/>
        <w:jc w:val="center"/>
        <w:textAlignment w:val="auto"/>
        <w:rPr>
          <w:rFonts w:hint="eastAsia" w:ascii="仿宋" w:eastAsia="仿宋"/>
          <w:b/>
          <w:sz w:val="44"/>
          <w:szCs w:val="44"/>
          <w:lang w:val="en-US" w:eastAsia="zh-CN"/>
        </w:rPr>
      </w:pPr>
      <w:bookmarkStart w:id="79" w:name="_GoBack"/>
      <w:r>
        <w:rPr>
          <w:rFonts w:hint="eastAsia" w:ascii="仿宋" w:eastAsia="仿宋"/>
          <w:b/>
          <w:w w:val="95"/>
          <w:sz w:val="44"/>
          <w:szCs w:val="44"/>
          <w:lang w:val="en-US" w:eastAsia="zh-CN"/>
        </w:rPr>
        <w:t>红花桥路（览山路-红花桥水库）监理项目</w:t>
      </w:r>
    </w:p>
    <w:bookmarkEnd w:id="79"/>
    <w:p>
      <w:pPr>
        <w:pStyle w:val="10"/>
        <w:rPr>
          <w:rFonts w:ascii="仿宋"/>
          <w:b/>
          <w:sz w:val="20"/>
        </w:rPr>
      </w:pPr>
    </w:p>
    <w:p>
      <w:pPr>
        <w:pStyle w:val="10"/>
        <w:rPr>
          <w:rFonts w:ascii="仿宋"/>
          <w:b/>
          <w:sz w:val="20"/>
        </w:rPr>
      </w:pPr>
    </w:p>
    <w:p>
      <w:pPr>
        <w:pStyle w:val="10"/>
        <w:rPr>
          <w:rFonts w:ascii="仿宋"/>
          <w:b/>
          <w:sz w:val="20"/>
        </w:rPr>
      </w:pPr>
    </w:p>
    <w:p>
      <w:pPr>
        <w:pStyle w:val="10"/>
        <w:rPr>
          <w:rFonts w:ascii="仿宋"/>
          <w:b/>
          <w:sz w:val="20"/>
        </w:rPr>
      </w:pPr>
    </w:p>
    <w:p>
      <w:pPr>
        <w:pStyle w:val="10"/>
        <w:rPr>
          <w:rFonts w:ascii="仿宋"/>
          <w:b/>
          <w:sz w:val="20"/>
        </w:rPr>
      </w:pPr>
    </w:p>
    <w:p>
      <w:pPr>
        <w:pStyle w:val="10"/>
        <w:rPr>
          <w:rFonts w:ascii="仿宋"/>
          <w:b/>
          <w:sz w:val="20"/>
        </w:rPr>
      </w:pPr>
    </w:p>
    <w:p>
      <w:pPr>
        <w:pStyle w:val="10"/>
        <w:rPr>
          <w:rFonts w:ascii="仿宋"/>
          <w:b/>
          <w:sz w:val="20"/>
        </w:rPr>
      </w:pPr>
    </w:p>
    <w:p>
      <w:pPr>
        <w:pStyle w:val="10"/>
        <w:rPr>
          <w:rFonts w:ascii="仿宋"/>
          <w:b/>
          <w:sz w:val="20"/>
        </w:rPr>
      </w:pPr>
    </w:p>
    <w:p>
      <w:pPr>
        <w:pStyle w:val="10"/>
        <w:rPr>
          <w:rFonts w:ascii="仿宋"/>
          <w:b/>
          <w:sz w:val="20"/>
        </w:rPr>
      </w:pPr>
    </w:p>
    <w:p>
      <w:pPr>
        <w:pStyle w:val="10"/>
        <w:rPr>
          <w:rFonts w:ascii="仿宋"/>
          <w:b/>
          <w:sz w:val="20"/>
        </w:rPr>
      </w:pPr>
    </w:p>
    <w:p>
      <w:pPr>
        <w:pStyle w:val="10"/>
        <w:rPr>
          <w:rFonts w:ascii="仿宋"/>
          <w:b/>
          <w:sz w:val="20"/>
        </w:rPr>
      </w:pPr>
    </w:p>
    <w:p>
      <w:pPr>
        <w:spacing w:before="0" w:line="1097" w:lineRule="exact"/>
        <w:ind w:right="0"/>
        <w:jc w:val="center"/>
        <w:rPr>
          <w:rFonts w:hint="eastAsia" w:ascii="仿宋" w:eastAsia="仿宋"/>
          <w:b/>
          <w:sz w:val="84"/>
        </w:rPr>
      </w:pPr>
      <w:r>
        <w:rPr>
          <w:rFonts w:hint="eastAsia" w:ascii="仿宋" w:eastAsia="仿宋"/>
          <w:b/>
          <w:sz w:val="84"/>
          <w:lang w:val="en-US" w:eastAsia="zh-CN"/>
        </w:rPr>
        <w:t xml:space="preserve">交 易 </w:t>
      </w:r>
      <w:r>
        <w:rPr>
          <w:rFonts w:hint="eastAsia" w:ascii="仿宋" w:eastAsia="仿宋"/>
          <w:b/>
          <w:sz w:val="84"/>
        </w:rPr>
        <w:t>文</w:t>
      </w:r>
      <w:r>
        <w:rPr>
          <w:rFonts w:hint="eastAsia" w:ascii="仿宋" w:eastAsia="仿宋"/>
          <w:b/>
          <w:sz w:val="84"/>
          <w:lang w:val="en-US" w:eastAsia="zh-CN"/>
        </w:rPr>
        <w:t xml:space="preserve"> </w:t>
      </w:r>
      <w:r>
        <w:rPr>
          <w:rFonts w:hint="eastAsia" w:ascii="仿宋" w:eastAsia="仿宋"/>
          <w:b/>
          <w:sz w:val="84"/>
        </w:rPr>
        <w:t>件</w:t>
      </w:r>
    </w:p>
    <w:p>
      <w:pPr>
        <w:pStyle w:val="10"/>
        <w:rPr>
          <w:rFonts w:ascii="仿宋"/>
          <w:b/>
          <w:sz w:val="20"/>
        </w:rPr>
      </w:pPr>
    </w:p>
    <w:p>
      <w:pPr>
        <w:pStyle w:val="10"/>
        <w:rPr>
          <w:rFonts w:ascii="仿宋"/>
          <w:b/>
          <w:sz w:val="20"/>
        </w:rPr>
      </w:pPr>
    </w:p>
    <w:p>
      <w:pPr>
        <w:pStyle w:val="10"/>
        <w:rPr>
          <w:rFonts w:ascii="仿宋"/>
          <w:b/>
          <w:sz w:val="20"/>
        </w:rPr>
      </w:pPr>
    </w:p>
    <w:p>
      <w:pPr>
        <w:pStyle w:val="10"/>
        <w:rPr>
          <w:rFonts w:ascii="仿宋"/>
          <w:b/>
          <w:sz w:val="20"/>
        </w:rPr>
      </w:pPr>
    </w:p>
    <w:p>
      <w:pPr>
        <w:pStyle w:val="10"/>
        <w:spacing w:before="6"/>
        <w:rPr>
          <w:rFonts w:ascii="仿宋"/>
          <w:b/>
          <w:sz w:val="29"/>
        </w:rPr>
      </w:pPr>
    </w:p>
    <w:p>
      <w:pPr>
        <w:pStyle w:val="10"/>
        <w:rPr>
          <w:rFonts w:ascii="仿宋"/>
          <w:b/>
          <w:sz w:val="32"/>
        </w:rPr>
      </w:pPr>
    </w:p>
    <w:p>
      <w:pPr>
        <w:pStyle w:val="10"/>
        <w:rPr>
          <w:rFonts w:ascii="仿宋"/>
          <w:b/>
          <w:sz w:val="32"/>
        </w:rPr>
      </w:pPr>
    </w:p>
    <w:p>
      <w:pPr>
        <w:pStyle w:val="10"/>
        <w:rPr>
          <w:rFonts w:ascii="仿宋"/>
          <w:b/>
          <w:sz w:val="32"/>
        </w:rPr>
      </w:pPr>
    </w:p>
    <w:p>
      <w:pPr>
        <w:pStyle w:val="10"/>
        <w:rPr>
          <w:rFonts w:ascii="仿宋"/>
          <w:b/>
          <w:sz w:val="32"/>
        </w:rPr>
      </w:pPr>
    </w:p>
    <w:p>
      <w:pPr>
        <w:pStyle w:val="10"/>
        <w:rPr>
          <w:rFonts w:ascii="仿宋"/>
          <w:b/>
          <w:sz w:val="32"/>
        </w:rPr>
      </w:pPr>
    </w:p>
    <w:p>
      <w:pPr>
        <w:pStyle w:val="10"/>
        <w:rPr>
          <w:rFonts w:ascii="仿宋"/>
          <w:b/>
          <w:sz w:val="32"/>
        </w:rPr>
      </w:pPr>
    </w:p>
    <w:p>
      <w:pPr>
        <w:pStyle w:val="10"/>
        <w:spacing w:before="12"/>
        <w:rPr>
          <w:rFonts w:ascii="仿宋"/>
          <w:b/>
          <w:sz w:val="32"/>
        </w:rPr>
      </w:pPr>
    </w:p>
    <w:p>
      <w:pPr>
        <w:keepNext w:val="0"/>
        <w:keepLines w:val="0"/>
        <w:pageBreakBefore w:val="0"/>
        <w:widowControl w:val="0"/>
        <w:tabs>
          <w:tab w:val="left" w:pos="1713"/>
          <w:tab w:val="left" w:pos="2359"/>
        </w:tabs>
        <w:kinsoku/>
        <w:wordWrap/>
        <w:overflowPunct/>
        <w:topLinePunct w:val="0"/>
        <w:autoSpaceDE w:val="0"/>
        <w:autoSpaceDN w:val="0"/>
        <w:bidi w:val="0"/>
        <w:adjustRightInd/>
        <w:snapToGrid/>
        <w:spacing w:before="0" w:line="480" w:lineRule="auto"/>
        <w:ind w:left="0" w:leftChars="0" w:right="0" w:firstLine="881" w:firstLineChars="283"/>
        <w:jc w:val="left"/>
        <w:textAlignment w:val="auto"/>
        <w:rPr>
          <w:b/>
          <w:sz w:val="17"/>
        </w:rPr>
      </w:pPr>
      <w:r>
        <w:rPr>
          <w:b/>
          <w:sz w:val="31"/>
        </w:rPr>
        <w:t>招</w:t>
      </w:r>
      <w:r>
        <w:rPr>
          <w:rFonts w:hint="eastAsia"/>
          <w:b/>
          <w:sz w:val="31"/>
          <w:lang w:val="en-US" w:eastAsia="zh-CN"/>
        </w:rPr>
        <w:t xml:space="preserve"> </w:t>
      </w:r>
      <w:r>
        <w:rPr>
          <w:b/>
          <w:sz w:val="31"/>
        </w:rPr>
        <w:t>标</w:t>
      </w:r>
      <w:r>
        <w:rPr>
          <w:rFonts w:hint="eastAsia"/>
          <w:b/>
          <w:sz w:val="31"/>
          <w:lang w:val="en-US" w:eastAsia="zh-CN"/>
        </w:rPr>
        <w:t xml:space="preserve"> </w:t>
      </w:r>
      <w:r>
        <w:rPr>
          <w:b/>
          <w:spacing w:val="15"/>
          <w:sz w:val="31"/>
        </w:rPr>
        <w:t>人</w:t>
      </w:r>
      <w:r>
        <w:rPr>
          <w:b/>
          <w:sz w:val="31"/>
        </w:rPr>
        <w:t>：</w:t>
      </w:r>
      <w:r>
        <w:rPr>
          <w:rFonts w:hint="eastAsia"/>
          <w:b/>
          <w:spacing w:val="12"/>
          <w:sz w:val="31"/>
          <w:u w:val="single"/>
          <w:lang w:val="en-US" w:eastAsia="zh-CN"/>
        </w:rPr>
        <w:t xml:space="preserve">安徽省琅琊山旅游发展有限公司  </w:t>
      </w:r>
    </w:p>
    <w:p>
      <w:pPr>
        <w:keepNext w:val="0"/>
        <w:keepLines w:val="0"/>
        <w:pageBreakBefore w:val="0"/>
        <w:widowControl w:val="0"/>
        <w:kinsoku/>
        <w:wordWrap/>
        <w:overflowPunct/>
        <w:topLinePunct w:val="0"/>
        <w:autoSpaceDE w:val="0"/>
        <w:autoSpaceDN w:val="0"/>
        <w:bidi w:val="0"/>
        <w:adjustRightInd/>
        <w:snapToGrid/>
        <w:spacing w:before="19" w:line="480" w:lineRule="auto"/>
        <w:ind w:left="0" w:leftChars="0" w:right="0" w:firstLine="881" w:firstLineChars="283"/>
        <w:jc w:val="left"/>
        <w:textAlignment w:val="auto"/>
        <w:rPr>
          <w:rFonts w:hint="default" w:eastAsia="宋体"/>
          <w:b/>
          <w:sz w:val="20"/>
          <w:lang w:val="en-US" w:eastAsia="zh-CN"/>
        </w:rPr>
      </w:pPr>
      <w:r>
        <w:rPr>
          <w:b/>
          <w:sz w:val="31"/>
        </w:rPr>
        <w:t>招标代理机构：</w:t>
      </w:r>
      <w:r>
        <w:rPr>
          <w:rFonts w:hint="eastAsia"/>
          <w:b/>
          <w:sz w:val="31"/>
          <w:u w:val="single"/>
          <w:lang w:eastAsia="zh-CN"/>
        </w:rPr>
        <w:t>滁州青山工程咨询有限公司</w:t>
      </w:r>
      <w:r>
        <w:rPr>
          <w:rFonts w:hint="eastAsia"/>
          <w:b/>
          <w:sz w:val="31"/>
          <w:u w:val="single"/>
          <w:lang w:val="en-US" w:eastAsia="zh-CN"/>
        </w:rPr>
        <w:t xml:space="preserve">    </w:t>
      </w:r>
    </w:p>
    <w:p>
      <w:pPr>
        <w:keepNext w:val="0"/>
        <w:keepLines w:val="0"/>
        <w:pageBreakBefore w:val="0"/>
        <w:widowControl w:val="0"/>
        <w:tabs>
          <w:tab w:val="left" w:pos="3680"/>
        </w:tabs>
        <w:kinsoku/>
        <w:wordWrap/>
        <w:overflowPunct/>
        <w:topLinePunct w:val="0"/>
        <w:autoSpaceDE w:val="0"/>
        <w:autoSpaceDN w:val="0"/>
        <w:bidi w:val="0"/>
        <w:adjustRightInd/>
        <w:snapToGrid/>
        <w:spacing w:before="151" w:line="480" w:lineRule="auto"/>
        <w:ind w:left="0" w:leftChars="0" w:right="0" w:firstLine="1805" w:firstLineChars="580"/>
        <w:jc w:val="left"/>
        <w:textAlignment w:val="auto"/>
        <w:rPr>
          <w:b/>
          <w:sz w:val="28"/>
        </w:rPr>
      </w:pPr>
      <w:r>
        <w:rPr>
          <w:b/>
          <w:sz w:val="31"/>
        </w:rPr>
        <w:t>发布日</w:t>
      </w:r>
      <w:r>
        <w:rPr>
          <w:b/>
          <w:spacing w:val="-15"/>
          <w:sz w:val="31"/>
        </w:rPr>
        <w:t>期</w:t>
      </w:r>
      <w:r>
        <w:rPr>
          <w:b/>
          <w:sz w:val="31"/>
        </w:rPr>
        <w:t>：</w:t>
      </w:r>
      <w:r>
        <w:rPr>
          <w:rFonts w:hint="eastAsia"/>
          <w:b/>
          <w:sz w:val="31"/>
          <w:u w:val="single"/>
          <w:lang w:val="en-US" w:eastAsia="zh-CN"/>
        </w:rPr>
        <w:t xml:space="preserve"> </w:t>
      </w:r>
      <w:r>
        <w:rPr>
          <w:rFonts w:hint="eastAsia"/>
          <w:b/>
          <w:spacing w:val="5"/>
          <w:sz w:val="28"/>
          <w:u w:val="single"/>
          <w:lang w:eastAsia="zh-CN"/>
        </w:rPr>
        <w:t>2020</w:t>
      </w:r>
      <w:r>
        <w:rPr>
          <w:b/>
          <w:spacing w:val="15"/>
          <w:sz w:val="28"/>
        </w:rPr>
        <w:t>年</w:t>
      </w:r>
      <w:r>
        <w:rPr>
          <w:b/>
          <w:spacing w:val="15"/>
          <w:sz w:val="28"/>
          <w:u w:val="single"/>
        </w:rPr>
        <w:t xml:space="preserve"> </w:t>
      </w:r>
      <w:r>
        <w:rPr>
          <w:rFonts w:hint="eastAsia"/>
          <w:b/>
          <w:spacing w:val="5"/>
          <w:sz w:val="28"/>
          <w:u w:val="single"/>
          <w:lang w:val="en-US" w:eastAsia="zh-CN"/>
        </w:rPr>
        <w:t>04</w:t>
      </w:r>
      <w:r>
        <w:rPr>
          <w:b/>
          <w:spacing w:val="15"/>
          <w:sz w:val="28"/>
        </w:rPr>
        <w:t>月</w:t>
      </w:r>
      <w:r>
        <w:rPr>
          <w:b/>
          <w:spacing w:val="-38"/>
          <w:w w:val="100"/>
          <w:sz w:val="28"/>
        </w:rPr>
        <w:t xml:space="preserve"> </w:t>
      </w:r>
      <w:r>
        <w:rPr>
          <w:b/>
          <w:spacing w:val="22"/>
          <w:w w:val="100"/>
          <w:sz w:val="28"/>
        </w:rPr>
        <w:t xml:space="preserve"> </w:t>
      </w:r>
      <w:r>
        <w:rPr>
          <w:b/>
          <w:w w:val="100"/>
          <w:sz w:val="28"/>
        </w:rPr>
        <w:t xml:space="preserve"> </w:t>
      </w:r>
    </w:p>
    <w:p>
      <w:pPr>
        <w:spacing w:after="0"/>
        <w:jc w:val="left"/>
        <w:rPr>
          <w:sz w:val="28"/>
        </w:rPr>
        <w:sectPr>
          <w:footerReference r:id="rId5" w:type="default"/>
          <w:type w:val="continuous"/>
          <w:pgSz w:w="11910" w:h="16850"/>
          <w:pgMar w:top="1440" w:right="1800" w:bottom="1440" w:left="1800" w:header="720" w:footer="636" w:gutter="0"/>
          <w:pgNumType w:start="1"/>
          <w:cols w:space="720" w:num="1"/>
        </w:sectPr>
      </w:pPr>
    </w:p>
    <w:p>
      <w:pPr>
        <w:bidi w:val="0"/>
      </w:pPr>
      <w:r>
        <w:t xml:space="preserve"> </w:t>
      </w:r>
    </w:p>
    <w:p>
      <w:pPr>
        <w:spacing w:before="14" w:line="350" w:lineRule="exact"/>
        <w:ind w:left="106" w:right="0" w:firstLine="0"/>
        <w:jc w:val="left"/>
        <w:rPr>
          <w:b/>
          <w:sz w:val="31"/>
        </w:rPr>
      </w:pPr>
      <w:r>
        <w:rPr>
          <w:b/>
          <w:w w:val="100"/>
          <w:sz w:val="31"/>
        </w:rPr>
        <w:t xml:space="preserve"> </w:t>
      </w:r>
      <w:r>
        <w:rPr>
          <w:b/>
          <w:spacing w:val="-120"/>
          <w:sz w:val="31"/>
        </w:rPr>
        <w:t xml:space="preserve"> </w:t>
      </w:r>
      <w:r>
        <w:rPr>
          <w:b/>
          <w:w w:val="100"/>
          <w:sz w:val="31"/>
        </w:rPr>
        <w:t xml:space="preserve"> </w:t>
      </w:r>
      <w:r>
        <w:rPr>
          <w:b/>
          <w:spacing w:val="-104"/>
          <w:sz w:val="31"/>
        </w:rPr>
        <w:t xml:space="preserve"> </w:t>
      </w:r>
      <w:r>
        <w:rPr>
          <w:b/>
          <w:w w:val="100"/>
          <w:sz w:val="31"/>
        </w:rPr>
        <w:t xml:space="preserve"> </w:t>
      </w:r>
      <w:r>
        <w:rPr>
          <w:b/>
          <w:spacing w:val="-120"/>
          <w:sz w:val="31"/>
        </w:rPr>
        <w:t xml:space="preserve"> </w:t>
      </w:r>
      <w:r>
        <w:rPr>
          <w:b/>
          <w:w w:val="100"/>
          <w:sz w:val="31"/>
        </w:rPr>
        <w:t xml:space="preserve"> </w:t>
      </w:r>
      <w:r>
        <w:rPr>
          <w:b/>
          <w:spacing w:val="-104"/>
          <w:sz w:val="31"/>
        </w:rPr>
        <w:t xml:space="preserve"> </w:t>
      </w:r>
      <w:r>
        <w:rPr>
          <w:b/>
          <w:w w:val="100"/>
          <w:sz w:val="31"/>
        </w:rPr>
        <w:t xml:space="preserve"> </w:t>
      </w:r>
      <w:r>
        <w:rPr>
          <w:b/>
          <w:spacing w:val="-120"/>
          <w:sz w:val="31"/>
        </w:rPr>
        <w:t xml:space="preserve"> </w:t>
      </w:r>
      <w:r>
        <w:rPr>
          <w:b/>
          <w:w w:val="100"/>
          <w:sz w:val="31"/>
        </w:rPr>
        <w:t xml:space="preserve"> </w:t>
      </w:r>
      <w:r>
        <w:rPr>
          <w:b/>
          <w:spacing w:val="-104"/>
          <w:sz w:val="31"/>
        </w:rPr>
        <w:t xml:space="preserve"> </w:t>
      </w:r>
      <w:r>
        <w:rPr>
          <w:b/>
          <w:w w:val="100"/>
          <w:sz w:val="31"/>
        </w:rPr>
        <w:t xml:space="preserve"> </w:t>
      </w:r>
      <w:r>
        <w:rPr>
          <w:b/>
          <w:spacing w:val="-120"/>
          <w:sz w:val="31"/>
        </w:rPr>
        <w:t xml:space="preserve"> </w:t>
      </w:r>
      <w:r>
        <w:rPr>
          <w:b/>
          <w:w w:val="100"/>
          <w:sz w:val="31"/>
        </w:rPr>
        <w:t xml:space="preserve"> </w:t>
      </w:r>
      <w:r>
        <w:rPr>
          <w:b/>
          <w:spacing w:val="-104"/>
          <w:sz w:val="31"/>
        </w:rPr>
        <w:t xml:space="preserve"> </w:t>
      </w:r>
      <w:r>
        <w:rPr>
          <w:b/>
          <w:spacing w:val="21"/>
          <w:w w:val="100"/>
          <w:sz w:val="31"/>
        </w:rPr>
        <w:t xml:space="preserve"> </w:t>
      </w:r>
      <w:r>
        <w:rPr>
          <w:b/>
          <w:w w:val="100"/>
          <w:sz w:val="31"/>
        </w:rPr>
        <w:t xml:space="preserve"> </w:t>
      </w:r>
      <w:r>
        <w:rPr>
          <w:b/>
          <w:spacing w:val="-104"/>
          <w:sz w:val="31"/>
        </w:rPr>
        <w:t xml:space="preserve"> </w:t>
      </w:r>
      <w:r>
        <w:rPr>
          <w:b/>
          <w:w w:val="100"/>
          <w:sz w:val="31"/>
        </w:rPr>
        <w:t xml:space="preserve"> </w:t>
      </w:r>
      <w:r>
        <w:rPr>
          <w:b/>
          <w:spacing w:val="-120"/>
          <w:sz w:val="31"/>
        </w:rPr>
        <w:t xml:space="preserve"> </w:t>
      </w:r>
      <w:r>
        <w:rPr>
          <w:b/>
          <w:w w:val="100"/>
          <w:sz w:val="31"/>
        </w:rPr>
        <w:t xml:space="preserve"> </w:t>
      </w:r>
      <w:r>
        <w:rPr>
          <w:b/>
          <w:spacing w:val="-104"/>
          <w:sz w:val="31"/>
        </w:rPr>
        <w:t xml:space="preserve"> </w:t>
      </w:r>
      <w:r>
        <w:rPr>
          <w:b/>
          <w:w w:val="100"/>
          <w:sz w:val="31"/>
        </w:rPr>
        <w:t xml:space="preserve"> </w:t>
      </w:r>
      <w:r>
        <w:rPr>
          <w:b/>
          <w:spacing w:val="-120"/>
          <w:sz w:val="31"/>
        </w:rPr>
        <w:t xml:space="preserve"> </w:t>
      </w:r>
      <w:r>
        <w:rPr>
          <w:b/>
          <w:w w:val="100"/>
          <w:sz w:val="31"/>
        </w:rPr>
        <w:t xml:space="preserve"> </w:t>
      </w:r>
      <w:r>
        <w:rPr>
          <w:b/>
          <w:spacing w:val="-104"/>
          <w:sz w:val="31"/>
        </w:rPr>
        <w:t xml:space="preserve"> </w:t>
      </w:r>
      <w:r>
        <w:rPr>
          <w:b/>
          <w:w w:val="100"/>
          <w:sz w:val="31"/>
        </w:rPr>
        <w:t xml:space="preserve"> </w:t>
      </w:r>
      <w:r>
        <w:rPr>
          <w:b/>
          <w:spacing w:val="-120"/>
          <w:sz w:val="31"/>
        </w:rPr>
        <w:t xml:space="preserve"> </w:t>
      </w:r>
      <w:r>
        <w:rPr>
          <w:b/>
          <w:w w:val="100"/>
          <w:sz w:val="31"/>
        </w:rPr>
        <w:t xml:space="preserve"> </w:t>
      </w:r>
      <w:r>
        <w:rPr>
          <w:b/>
          <w:spacing w:val="-104"/>
          <w:sz w:val="31"/>
        </w:rPr>
        <w:t xml:space="preserve"> </w:t>
      </w:r>
      <w:r>
        <w:rPr>
          <w:b/>
          <w:spacing w:val="21"/>
          <w:w w:val="100"/>
          <w:sz w:val="31"/>
        </w:rPr>
        <w:t xml:space="preserve"> </w:t>
      </w:r>
      <w:r>
        <w:rPr>
          <w:b/>
          <w:w w:val="100"/>
          <w:sz w:val="31"/>
        </w:rPr>
        <w:t xml:space="preserve"> </w:t>
      </w:r>
      <w:r>
        <w:rPr>
          <w:b/>
          <w:spacing w:val="-104"/>
          <w:sz w:val="31"/>
        </w:rPr>
        <w:t xml:space="preserve"> </w:t>
      </w:r>
      <w:r>
        <w:rPr>
          <w:b/>
          <w:w w:val="100"/>
          <w:sz w:val="31"/>
        </w:rPr>
        <w:t xml:space="preserve"> </w:t>
      </w:r>
      <w:r>
        <w:rPr>
          <w:b/>
          <w:spacing w:val="-120"/>
          <w:sz w:val="31"/>
        </w:rPr>
        <w:t xml:space="preserve"> </w:t>
      </w:r>
      <w:r>
        <w:rPr>
          <w:b/>
          <w:w w:val="100"/>
          <w:sz w:val="31"/>
        </w:rPr>
        <w:t xml:space="preserve"> </w:t>
      </w:r>
      <w:r>
        <w:rPr>
          <w:b/>
          <w:spacing w:val="-104"/>
          <w:sz w:val="31"/>
        </w:rPr>
        <w:t xml:space="preserve"> </w:t>
      </w:r>
      <w:r>
        <w:rPr>
          <w:b/>
          <w:w w:val="100"/>
          <w:sz w:val="31"/>
        </w:rPr>
        <w:t xml:space="preserve"> </w:t>
      </w:r>
      <w:r>
        <w:rPr>
          <w:b/>
          <w:spacing w:val="-120"/>
          <w:sz w:val="31"/>
        </w:rPr>
        <w:t xml:space="preserve"> </w:t>
      </w:r>
      <w:r>
        <w:rPr>
          <w:b/>
          <w:w w:val="100"/>
          <w:sz w:val="31"/>
        </w:rPr>
        <w:t xml:space="preserve"> </w:t>
      </w:r>
      <w:r>
        <w:rPr>
          <w:b/>
          <w:spacing w:val="-104"/>
          <w:sz w:val="31"/>
        </w:rPr>
        <w:t xml:space="preserve"> </w:t>
      </w:r>
      <w:r>
        <w:rPr>
          <w:b/>
          <w:w w:val="100"/>
          <w:sz w:val="31"/>
        </w:rPr>
        <w:t xml:space="preserve"> </w:t>
      </w:r>
      <w:r>
        <w:rPr>
          <w:b/>
          <w:spacing w:val="-120"/>
          <w:sz w:val="31"/>
        </w:rPr>
        <w:t xml:space="preserve"> </w:t>
      </w:r>
      <w:r>
        <w:rPr>
          <w:b/>
          <w:w w:val="100"/>
          <w:sz w:val="31"/>
        </w:rPr>
        <w:t xml:space="preserve"> </w:t>
      </w:r>
      <w:r>
        <w:rPr>
          <w:b/>
          <w:spacing w:val="-104"/>
          <w:sz w:val="31"/>
        </w:rPr>
        <w:t xml:space="preserve"> </w:t>
      </w:r>
      <w:r>
        <w:rPr>
          <w:b/>
          <w:w w:val="100"/>
          <w:sz w:val="31"/>
        </w:rPr>
        <w:t xml:space="preserve"> </w:t>
      </w:r>
      <w:r>
        <w:rPr>
          <w:b/>
          <w:spacing w:val="-120"/>
          <w:sz w:val="31"/>
        </w:rPr>
        <w:t xml:space="preserve"> </w:t>
      </w:r>
      <w:r>
        <w:rPr>
          <w:b/>
          <w:w w:val="100"/>
          <w:sz w:val="31"/>
        </w:rPr>
        <w:t xml:space="preserve"> </w:t>
      </w:r>
      <w:r>
        <w:rPr>
          <w:b/>
          <w:spacing w:val="-104"/>
          <w:sz w:val="31"/>
        </w:rPr>
        <w:t xml:space="preserve"> </w:t>
      </w:r>
      <w:r>
        <w:rPr>
          <w:b/>
          <w:spacing w:val="21"/>
          <w:w w:val="100"/>
          <w:sz w:val="31"/>
        </w:rPr>
        <w:t xml:space="preserve"> </w:t>
      </w:r>
      <w:r>
        <w:rPr>
          <w:b/>
          <w:w w:val="100"/>
          <w:sz w:val="31"/>
        </w:rPr>
        <w:t xml:space="preserve"> </w:t>
      </w:r>
      <w:r>
        <w:rPr>
          <w:b/>
          <w:spacing w:val="-104"/>
          <w:sz w:val="31"/>
        </w:rPr>
        <w:t xml:space="preserve"> </w:t>
      </w:r>
      <w:r>
        <w:rPr>
          <w:b/>
          <w:w w:val="100"/>
          <w:sz w:val="31"/>
        </w:rPr>
        <w:t xml:space="preserve"> </w:t>
      </w:r>
      <w:r>
        <w:rPr>
          <w:b/>
          <w:spacing w:val="-120"/>
          <w:sz w:val="31"/>
        </w:rPr>
        <w:t xml:space="preserve"> </w:t>
      </w:r>
      <w:r>
        <w:rPr>
          <w:b/>
          <w:w w:val="100"/>
          <w:sz w:val="31"/>
        </w:rPr>
        <w:t xml:space="preserve"> </w:t>
      </w:r>
      <w:r>
        <w:rPr>
          <w:b/>
          <w:spacing w:val="-104"/>
          <w:sz w:val="31"/>
        </w:rPr>
        <w:t xml:space="preserve"> </w:t>
      </w:r>
      <w:r>
        <w:rPr>
          <w:b/>
          <w:w w:val="100"/>
          <w:sz w:val="31"/>
        </w:rPr>
        <w:t xml:space="preserve"> </w:t>
      </w:r>
      <w:r>
        <w:rPr>
          <w:b/>
          <w:spacing w:val="-120"/>
          <w:sz w:val="31"/>
        </w:rPr>
        <w:t xml:space="preserve"> </w:t>
      </w:r>
      <w:r>
        <w:rPr>
          <w:b/>
          <w:w w:val="100"/>
          <w:sz w:val="31"/>
        </w:rPr>
        <w:t xml:space="preserve"> </w:t>
      </w:r>
      <w:r>
        <w:rPr>
          <w:b/>
          <w:spacing w:val="-104"/>
          <w:sz w:val="31"/>
        </w:rPr>
        <w:t xml:space="preserve"> </w:t>
      </w:r>
      <w:r>
        <w:rPr>
          <w:b/>
          <w:w w:val="100"/>
          <w:sz w:val="31"/>
        </w:rPr>
        <w:t xml:space="preserve"> </w:t>
      </w:r>
      <w:r>
        <w:rPr>
          <w:b/>
          <w:spacing w:val="-120"/>
          <w:sz w:val="31"/>
        </w:rPr>
        <w:t xml:space="preserve"> </w:t>
      </w:r>
      <w:r>
        <w:rPr>
          <w:b/>
          <w:w w:val="100"/>
          <w:sz w:val="31"/>
        </w:rPr>
        <w:t xml:space="preserve"> </w:t>
      </w:r>
      <w:r>
        <w:rPr>
          <w:b/>
          <w:spacing w:val="-104"/>
          <w:sz w:val="31"/>
        </w:rPr>
        <w:t xml:space="preserve"> </w:t>
      </w:r>
      <w:r>
        <w:rPr>
          <w:b/>
          <w:spacing w:val="21"/>
          <w:w w:val="100"/>
          <w:sz w:val="31"/>
        </w:rPr>
        <w:t xml:space="preserve"> </w:t>
      </w:r>
      <w:r>
        <w:rPr>
          <w:b/>
          <w:w w:val="100"/>
          <w:sz w:val="31"/>
        </w:rPr>
        <w:t xml:space="preserve"> </w:t>
      </w:r>
      <w:r>
        <w:rPr>
          <w:b/>
          <w:spacing w:val="-104"/>
          <w:sz w:val="31"/>
        </w:rPr>
        <w:t xml:space="preserve"> </w:t>
      </w:r>
      <w:r>
        <w:rPr>
          <w:b/>
          <w:w w:val="100"/>
          <w:sz w:val="31"/>
        </w:rPr>
        <w:t xml:space="preserve"> </w:t>
      </w:r>
      <w:r>
        <w:rPr>
          <w:b/>
          <w:spacing w:val="-120"/>
          <w:sz w:val="31"/>
        </w:rPr>
        <w:t xml:space="preserve"> </w:t>
      </w:r>
      <w:r>
        <w:rPr>
          <w:b/>
          <w:w w:val="100"/>
          <w:sz w:val="31"/>
        </w:rPr>
        <w:t xml:space="preserve"> </w:t>
      </w:r>
      <w:r>
        <w:rPr>
          <w:b/>
          <w:spacing w:val="-104"/>
          <w:sz w:val="31"/>
        </w:rPr>
        <w:t xml:space="preserve"> </w:t>
      </w:r>
      <w:r>
        <w:rPr>
          <w:b/>
          <w:w w:val="100"/>
          <w:sz w:val="31"/>
        </w:rPr>
        <w:t xml:space="preserve"> </w:t>
      </w:r>
      <w:r>
        <w:rPr>
          <w:b/>
          <w:spacing w:val="-120"/>
          <w:sz w:val="31"/>
        </w:rPr>
        <w:t xml:space="preserve"> </w:t>
      </w:r>
      <w:r>
        <w:rPr>
          <w:b/>
          <w:w w:val="100"/>
          <w:sz w:val="31"/>
        </w:rPr>
        <w:t xml:space="preserve"> </w:t>
      </w:r>
      <w:r>
        <w:rPr>
          <w:b/>
          <w:spacing w:val="-104"/>
          <w:sz w:val="31"/>
        </w:rPr>
        <w:t xml:space="preserve"> </w:t>
      </w:r>
      <w:r>
        <w:rPr>
          <w:b/>
          <w:w w:val="100"/>
          <w:sz w:val="31"/>
        </w:rPr>
        <w:t xml:space="preserve"> </w:t>
      </w:r>
      <w:r>
        <w:rPr>
          <w:b/>
          <w:spacing w:val="-120"/>
          <w:sz w:val="31"/>
        </w:rPr>
        <w:t xml:space="preserve"> </w:t>
      </w:r>
      <w:r>
        <w:rPr>
          <w:b/>
          <w:w w:val="100"/>
          <w:sz w:val="31"/>
        </w:rPr>
        <w:t xml:space="preserve"> </w:t>
      </w:r>
      <w:r>
        <w:rPr>
          <w:b/>
          <w:spacing w:val="-104"/>
          <w:sz w:val="31"/>
        </w:rPr>
        <w:t xml:space="preserve"> </w:t>
      </w:r>
      <w:r>
        <w:rPr>
          <w:b/>
          <w:spacing w:val="21"/>
          <w:w w:val="100"/>
          <w:sz w:val="31"/>
        </w:rPr>
        <w:t xml:space="preserve"> </w:t>
      </w:r>
      <w:r>
        <w:rPr>
          <w:b/>
          <w:w w:val="100"/>
          <w:sz w:val="31"/>
        </w:rPr>
        <w:t xml:space="preserve"> </w:t>
      </w:r>
      <w:r>
        <w:rPr>
          <w:b/>
          <w:spacing w:val="-104"/>
          <w:sz w:val="31"/>
        </w:rPr>
        <w:t xml:space="preserve"> </w:t>
      </w:r>
      <w:r>
        <w:rPr>
          <w:b/>
          <w:w w:val="100"/>
          <w:sz w:val="31"/>
        </w:rPr>
        <w:t xml:space="preserve"> </w:t>
      </w:r>
      <w:r>
        <w:rPr>
          <w:b/>
          <w:spacing w:val="-120"/>
          <w:sz w:val="31"/>
        </w:rPr>
        <w:t xml:space="preserve"> </w:t>
      </w:r>
      <w:r>
        <w:rPr>
          <w:b/>
          <w:w w:val="100"/>
          <w:sz w:val="31"/>
        </w:rPr>
        <w:t xml:space="preserve"> </w:t>
      </w:r>
      <w:r>
        <w:rPr>
          <w:b/>
          <w:spacing w:val="-104"/>
          <w:sz w:val="31"/>
        </w:rPr>
        <w:t xml:space="preserve"> </w:t>
      </w:r>
      <w:r>
        <w:rPr>
          <w:b/>
          <w:w w:val="100"/>
          <w:sz w:val="31"/>
        </w:rPr>
        <w:t xml:space="preserve"> </w:t>
      </w:r>
      <w:r>
        <w:rPr>
          <w:b/>
          <w:spacing w:val="-120"/>
          <w:sz w:val="31"/>
        </w:rPr>
        <w:t xml:space="preserve"> </w:t>
      </w:r>
      <w:r>
        <w:rPr>
          <w:b/>
          <w:w w:val="100"/>
          <w:sz w:val="31"/>
        </w:rPr>
        <w:t xml:space="preserve"> </w:t>
      </w:r>
      <w:r>
        <w:rPr>
          <w:b/>
          <w:spacing w:val="-104"/>
          <w:sz w:val="31"/>
        </w:rPr>
        <w:t xml:space="preserve"> </w:t>
      </w:r>
      <w:r>
        <w:rPr>
          <w:b/>
          <w:w w:val="100"/>
          <w:sz w:val="31"/>
        </w:rPr>
        <w:t xml:space="preserve"> </w:t>
      </w:r>
      <w:r>
        <w:rPr>
          <w:b/>
          <w:spacing w:val="-120"/>
          <w:sz w:val="31"/>
        </w:rPr>
        <w:t xml:space="preserve"> </w:t>
      </w:r>
      <w:r>
        <w:rPr>
          <w:b/>
          <w:w w:val="100"/>
          <w:sz w:val="31"/>
        </w:rPr>
        <w:t xml:space="preserve"> </w:t>
      </w:r>
      <w:r>
        <w:rPr>
          <w:b/>
          <w:spacing w:val="-87"/>
          <w:sz w:val="31"/>
        </w:rPr>
        <w:t xml:space="preserve"> </w:t>
      </w:r>
      <w:r>
        <w:rPr>
          <w:b/>
          <w:w w:val="100"/>
          <w:sz w:val="31"/>
        </w:rPr>
        <w:t xml:space="preserve"> </w:t>
      </w:r>
    </w:p>
    <w:p>
      <w:pPr>
        <w:spacing w:before="0" w:line="507" w:lineRule="exact"/>
        <w:ind w:left="220" w:right="574" w:firstLine="0"/>
        <w:jc w:val="center"/>
        <w:rPr>
          <w:b/>
          <w:w w:val="100"/>
          <w:sz w:val="28"/>
          <w:szCs w:val="21"/>
        </w:rPr>
      </w:pPr>
      <w:r>
        <w:rPr>
          <w:b/>
          <w:sz w:val="32"/>
          <w:szCs w:val="32"/>
        </w:rPr>
        <w:t>目录</w:t>
      </w:r>
      <w:bookmarkStart w:id="0" w:name="招标公告"/>
      <w:bookmarkEnd w:id="0"/>
    </w:p>
    <w:sdt>
      <w:sdtPr>
        <w:rPr>
          <w:rFonts w:ascii="宋体" w:hAnsi="宋体" w:eastAsia="宋体" w:cs="宋体"/>
          <w:sz w:val="21"/>
          <w:szCs w:val="22"/>
          <w:lang w:val="en-US" w:eastAsia="en-US" w:bidi="ar-SA"/>
        </w:rPr>
        <w:id w:val="147482231"/>
        <w15:color w:val="DBDBDB"/>
        <w:docPartObj>
          <w:docPartGallery w:val="Table of Contents"/>
          <w:docPartUnique/>
        </w:docPartObj>
      </w:sdtPr>
      <w:sdtEndPr>
        <w:rPr>
          <w:rFonts w:ascii="宋体" w:hAnsi="宋体" w:eastAsia="宋体" w:cs="宋体"/>
          <w:sz w:val="24"/>
          <w:szCs w:val="24"/>
          <w:lang w:val="en-US" w:eastAsia="en-US" w:bidi="ar-SA"/>
        </w:rPr>
      </w:sdtEndPr>
      <w:sdtContent>
        <w:p>
          <w:pPr>
            <w:spacing w:before="0" w:beforeLines="0" w:after="0" w:afterLines="0" w:line="240" w:lineRule="auto"/>
            <w:ind w:left="0" w:leftChars="0" w:right="0" w:rightChars="0" w:firstLine="0" w:firstLineChars="0"/>
            <w:jc w:val="center"/>
          </w:pPr>
        </w:p>
        <w:p>
          <w:pPr>
            <w:pStyle w:val="16"/>
            <w:keepNext w:val="0"/>
            <w:keepLines w:val="0"/>
            <w:pageBreakBefore w:val="0"/>
            <w:widowControl w:val="0"/>
            <w:tabs>
              <w:tab w:val="right" w:leader="dot" w:pos="8310"/>
            </w:tabs>
            <w:kinsoku/>
            <w:wordWrap/>
            <w:overflowPunct/>
            <w:topLinePunct w:val="0"/>
            <w:autoSpaceDE w:val="0"/>
            <w:autoSpaceDN w:val="0"/>
            <w:bidi w:val="0"/>
            <w:adjustRightInd/>
            <w:snapToGrid/>
            <w:spacing w:line="480" w:lineRule="auto"/>
            <w:textAlignment w:val="auto"/>
            <w:rPr>
              <w:sz w:val="28"/>
              <w:szCs w:val="28"/>
            </w:rPr>
          </w:pPr>
          <w:r>
            <w:rPr>
              <w:sz w:val="28"/>
              <w:szCs w:val="28"/>
            </w:rPr>
            <w:fldChar w:fldCharType="begin"/>
          </w:r>
          <w:r>
            <w:rPr>
              <w:sz w:val="28"/>
              <w:szCs w:val="28"/>
            </w:rPr>
            <w:instrText xml:space="preserve">TOC \o "1-1" \h \u </w:instrText>
          </w:r>
          <w:r>
            <w:rPr>
              <w:sz w:val="28"/>
              <w:szCs w:val="28"/>
            </w:rPr>
            <w:fldChar w:fldCharType="separate"/>
          </w:r>
          <w:r>
            <w:rPr>
              <w:sz w:val="28"/>
              <w:szCs w:val="28"/>
            </w:rPr>
            <w:fldChar w:fldCharType="begin"/>
          </w:r>
          <w:r>
            <w:rPr>
              <w:sz w:val="28"/>
              <w:szCs w:val="28"/>
            </w:rPr>
            <w:instrText xml:space="preserve"> HYPERLINK \l _Toc26810 </w:instrText>
          </w:r>
          <w:r>
            <w:rPr>
              <w:sz w:val="28"/>
              <w:szCs w:val="28"/>
            </w:rPr>
            <w:fldChar w:fldCharType="separate"/>
          </w:r>
          <w:r>
            <w:rPr>
              <w:sz w:val="28"/>
              <w:szCs w:val="28"/>
            </w:rPr>
            <w:t>招标公告</w:t>
          </w:r>
          <w:r>
            <w:rPr>
              <w:sz w:val="28"/>
              <w:szCs w:val="28"/>
            </w:rPr>
            <w:tab/>
          </w:r>
          <w:r>
            <w:rPr>
              <w:sz w:val="28"/>
              <w:szCs w:val="28"/>
            </w:rPr>
            <w:fldChar w:fldCharType="begin"/>
          </w:r>
          <w:r>
            <w:rPr>
              <w:sz w:val="28"/>
              <w:szCs w:val="28"/>
            </w:rPr>
            <w:instrText xml:space="preserve"> PAGEREF _Toc26810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16"/>
            <w:keepNext w:val="0"/>
            <w:keepLines w:val="0"/>
            <w:pageBreakBefore w:val="0"/>
            <w:widowControl w:val="0"/>
            <w:tabs>
              <w:tab w:val="right" w:leader="dot" w:pos="8310"/>
            </w:tabs>
            <w:kinsoku/>
            <w:wordWrap/>
            <w:overflowPunct/>
            <w:topLinePunct w:val="0"/>
            <w:autoSpaceDE w:val="0"/>
            <w:autoSpaceDN w:val="0"/>
            <w:bidi w:val="0"/>
            <w:adjustRightInd/>
            <w:snapToGrid/>
            <w:spacing w:line="480" w:lineRule="auto"/>
            <w:textAlignment w:val="auto"/>
            <w:rPr>
              <w:sz w:val="28"/>
              <w:szCs w:val="28"/>
            </w:rPr>
          </w:pPr>
          <w:r>
            <w:rPr>
              <w:sz w:val="28"/>
              <w:szCs w:val="28"/>
            </w:rPr>
            <w:fldChar w:fldCharType="begin"/>
          </w:r>
          <w:r>
            <w:rPr>
              <w:sz w:val="28"/>
              <w:szCs w:val="28"/>
            </w:rPr>
            <w:instrText xml:space="preserve"> HYPERLINK \l _Toc32322 </w:instrText>
          </w:r>
          <w:r>
            <w:rPr>
              <w:sz w:val="28"/>
              <w:szCs w:val="28"/>
            </w:rPr>
            <w:fldChar w:fldCharType="separate"/>
          </w:r>
          <w:r>
            <w:rPr>
              <w:rFonts w:hint="eastAsia"/>
              <w:sz w:val="28"/>
              <w:szCs w:val="28"/>
              <w:lang w:val="en-US" w:eastAsia="zh-CN"/>
            </w:rPr>
            <w:t>第一章</w:t>
          </w:r>
          <w:r>
            <w:rPr>
              <w:sz w:val="28"/>
              <w:szCs w:val="28"/>
            </w:rPr>
            <w:t>、投标人须知前附表</w:t>
          </w:r>
          <w:r>
            <w:rPr>
              <w:sz w:val="28"/>
              <w:szCs w:val="28"/>
            </w:rPr>
            <w:tab/>
          </w:r>
          <w:r>
            <w:rPr>
              <w:sz w:val="28"/>
              <w:szCs w:val="28"/>
            </w:rPr>
            <w:fldChar w:fldCharType="begin"/>
          </w:r>
          <w:r>
            <w:rPr>
              <w:sz w:val="28"/>
              <w:szCs w:val="28"/>
            </w:rPr>
            <w:instrText xml:space="preserve"> PAGEREF _Toc32322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16"/>
            <w:keepNext w:val="0"/>
            <w:keepLines w:val="0"/>
            <w:pageBreakBefore w:val="0"/>
            <w:widowControl w:val="0"/>
            <w:tabs>
              <w:tab w:val="right" w:leader="dot" w:pos="8310"/>
            </w:tabs>
            <w:kinsoku/>
            <w:wordWrap/>
            <w:overflowPunct/>
            <w:topLinePunct w:val="0"/>
            <w:autoSpaceDE w:val="0"/>
            <w:autoSpaceDN w:val="0"/>
            <w:bidi w:val="0"/>
            <w:adjustRightInd/>
            <w:snapToGrid/>
            <w:spacing w:line="480" w:lineRule="auto"/>
            <w:textAlignment w:val="auto"/>
            <w:rPr>
              <w:sz w:val="28"/>
              <w:szCs w:val="28"/>
            </w:rPr>
          </w:pPr>
          <w:r>
            <w:rPr>
              <w:sz w:val="28"/>
              <w:szCs w:val="28"/>
            </w:rPr>
            <w:fldChar w:fldCharType="begin"/>
          </w:r>
          <w:r>
            <w:rPr>
              <w:sz w:val="28"/>
              <w:szCs w:val="28"/>
            </w:rPr>
            <w:instrText xml:space="preserve"> HYPERLINK \l _Toc8279 </w:instrText>
          </w:r>
          <w:r>
            <w:rPr>
              <w:sz w:val="28"/>
              <w:szCs w:val="28"/>
            </w:rPr>
            <w:fldChar w:fldCharType="separate"/>
          </w:r>
          <w:r>
            <w:rPr>
              <w:rFonts w:hint="eastAsia"/>
              <w:sz w:val="28"/>
              <w:szCs w:val="28"/>
              <w:lang w:val="en-US" w:eastAsia="zh-CN"/>
            </w:rPr>
            <w:t>第二章</w:t>
          </w:r>
          <w:r>
            <w:rPr>
              <w:rFonts w:hint="eastAsia" w:ascii="宋体"/>
              <w:sz w:val="28"/>
              <w:szCs w:val="28"/>
            </w:rPr>
            <w:t>、投标人须知</w:t>
          </w:r>
          <w:r>
            <w:rPr>
              <w:sz w:val="28"/>
              <w:szCs w:val="28"/>
            </w:rPr>
            <w:tab/>
          </w:r>
          <w:r>
            <w:rPr>
              <w:sz w:val="28"/>
              <w:szCs w:val="28"/>
            </w:rPr>
            <w:fldChar w:fldCharType="begin"/>
          </w:r>
          <w:r>
            <w:rPr>
              <w:sz w:val="28"/>
              <w:szCs w:val="28"/>
            </w:rPr>
            <w:instrText xml:space="preserve"> PAGEREF _Toc8279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16"/>
            <w:keepNext w:val="0"/>
            <w:keepLines w:val="0"/>
            <w:pageBreakBefore w:val="0"/>
            <w:widowControl w:val="0"/>
            <w:tabs>
              <w:tab w:val="right" w:leader="dot" w:pos="8310"/>
            </w:tabs>
            <w:kinsoku/>
            <w:wordWrap/>
            <w:overflowPunct/>
            <w:topLinePunct w:val="0"/>
            <w:autoSpaceDE w:val="0"/>
            <w:autoSpaceDN w:val="0"/>
            <w:bidi w:val="0"/>
            <w:adjustRightInd/>
            <w:snapToGrid/>
            <w:spacing w:line="480" w:lineRule="auto"/>
            <w:textAlignment w:val="auto"/>
            <w:rPr>
              <w:sz w:val="28"/>
              <w:szCs w:val="28"/>
            </w:rPr>
          </w:pPr>
          <w:r>
            <w:rPr>
              <w:sz w:val="28"/>
              <w:szCs w:val="28"/>
            </w:rPr>
            <w:fldChar w:fldCharType="begin"/>
          </w:r>
          <w:r>
            <w:rPr>
              <w:sz w:val="28"/>
              <w:szCs w:val="28"/>
            </w:rPr>
            <w:instrText xml:space="preserve"> HYPERLINK \l _Toc26303 </w:instrText>
          </w:r>
          <w:r>
            <w:rPr>
              <w:sz w:val="28"/>
              <w:szCs w:val="28"/>
            </w:rPr>
            <w:fldChar w:fldCharType="separate"/>
          </w:r>
          <w:r>
            <w:rPr>
              <w:rFonts w:hint="eastAsia"/>
              <w:sz w:val="28"/>
              <w:szCs w:val="28"/>
              <w:lang w:val="en-US" w:eastAsia="zh-CN"/>
            </w:rPr>
            <w:t>第三章、</w:t>
          </w:r>
          <w:r>
            <w:rPr>
              <w:sz w:val="28"/>
              <w:szCs w:val="28"/>
            </w:rPr>
            <w:t>评标办法</w:t>
          </w:r>
          <w:r>
            <w:rPr>
              <w:sz w:val="28"/>
              <w:szCs w:val="28"/>
            </w:rPr>
            <w:tab/>
          </w:r>
          <w:r>
            <w:rPr>
              <w:sz w:val="28"/>
              <w:szCs w:val="28"/>
            </w:rPr>
            <w:fldChar w:fldCharType="begin"/>
          </w:r>
          <w:r>
            <w:rPr>
              <w:sz w:val="28"/>
              <w:szCs w:val="28"/>
            </w:rPr>
            <w:instrText xml:space="preserve"> PAGEREF _Toc26303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16"/>
            <w:keepNext w:val="0"/>
            <w:keepLines w:val="0"/>
            <w:pageBreakBefore w:val="0"/>
            <w:widowControl w:val="0"/>
            <w:tabs>
              <w:tab w:val="right" w:leader="dot" w:pos="8310"/>
            </w:tabs>
            <w:kinsoku/>
            <w:wordWrap/>
            <w:overflowPunct/>
            <w:topLinePunct w:val="0"/>
            <w:autoSpaceDE w:val="0"/>
            <w:autoSpaceDN w:val="0"/>
            <w:bidi w:val="0"/>
            <w:adjustRightInd/>
            <w:snapToGrid/>
            <w:spacing w:line="480" w:lineRule="auto"/>
            <w:textAlignment w:val="auto"/>
            <w:rPr>
              <w:sz w:val="28"/>
              <w:szCs w:val="28"/>
            </w:rPr>
          </w:pPr>
          <w:r>
            <w:rPr>
              <w:sz w:val="28"/>
              <w:szCs w:val="28"/>
            </w:rPr>
            <w:fldChar w:fldCharType="begin"/>
          </w:r>
          <w:r>
            <w:rPr>
              <w:sz w:val="28"/>
              <w:szCs w:val="28"/>
            </w:rPr>
            <w:instrText xml:space="preserve"> HYPERLINK \l _Toc20351 </w:instrText>
          </w:r>
          <w:r>
            <w:rPr>
              <w:sz w:val="28"/>
              <w:szCs w:val="28"/>
            </w:rPr>
            <w:fldChar w:fldCharType="separate"/>
          </w:r>
          <w:r>
            <w:rPr>
              <w:rFonts w:hint="eastAsia"/>
              <w:sz w:val="28"/>
              <w:szCs w:val="28"/>
            </w:rPr>
            <w:t xml:space="preserve">第四章 </w:t>
          </w:r>
          <w:r>
            <w:rPr>
              <w:sz w:val="28"/>
              <w:szCs w:val="28"/>
            </w:rPr>
            <w:t>技术规范</w:t>
          </w:r>
          <w:r>
            <w:rPr>
              <w:sz w:val="28"/>
              <w:szCs w:val="28"/>
            </w:rPr>
            <w:tab/>
          </w:r>
          <w:r>
            <w:rPr>
              <w:sz w:val="28"/>
              <w:szCs w:val="28"/>
            </w:rPr>
            <w:fldChar w:fldCharType="begin"/>
          </w:r>
          <w:r>
            <w:rPr>
              <w:sz w:val="28"/>
              <w:szCs w:val="28"/>
            </w:rPr>
            <w:instrText xml:space="preserve"> PAGEREF _Toc20351 </w:instrText>
          </w:r>
          <w:r>
            <w:rPr>
              <w:sz w:val="28"/>
              <w:szCs w:val="28"/>
            </w:rPr>
            <w:fldChar w:fldCharType="separate"/>
          </w:r>
          <w:r>
            <w:rPr>
              <w:sz w:val="28"/>
              <w:szCs w:val="28"/>
            </w:rPr>
            <w:t>22</w:t>
          </w:r>
          <w:r>
            <w:rPr>
              <w:sz w:val="28"/>
              <w:szCs w:val="28"/>
            </w:rPr>
            <w:fldChar w:fldCharType="end"/>
          </w:r>
          <w:r>
            <w:rPr>
              <w:sz w:val="28"/>
              <w:szCs w:val="28"/>
            </w:rPr>
            <w:fldChar w:fldCharType="end"/>
          </w:r>
        </w:p>
        <w:p>
          <w:pPr>
            <w:pStyle w:val="16"/>
            <w:keepNext w:val="0"/>
            <w:keepLines w:val="0"/>
            <w:pageBreakBefore w:val="0"/>
            <w:widowControl w:val="0"/>
            <w:tabs>
              <w:tab w:val="right" w:leader="dot" w:pos="8310"/>
            </w:tabs>
            <w:kinsoku/>
            <w:wordWrap/>
            <w:overflowPunct/>
            <w:topLinePunct w:val="0"/>
            <w:autoSpaceDE w:val="0"/>
            <w:autoSpaceDN w:val="0"/>
            <w:bidi w:val="0"/>
            <w:adjustRightInd/>
            <w:snapToGrid/>
            <w:spacing w:line="480" w:lineRule="auto"/>
            <w:textAlignment w:val="auto"/>
            <w:rPr>
              <w:sz w:val="28"/>
              <w:szCs w:val="28"/>
            </w:rPr>
          </w:pPr>
          <w:r>
            <w:rPr>
              <w:sz w:val="28"/>
              <w:szCs w:val="28"/>
            </w:rPr>
            <w:fldChar w:fldCharType="begin"/>
          </w:r>
          <w:r>
            <w:rPr>
              <w:sz w:val="28"/>
              <w:szCs w:val="28"/>
            </w:rPr>
            <w:instrText xml:space="preserve"> HYPERLINK \l _Toc23428 </w:instrText>
          </w:r>
          <w:r>
            <w:rPr>
              <w:sz w:val="28"/>
              <w:szCs w:val="28"/>
            </w:rPr>
            <w:fldChar w:fldCharType="separate"/>
          </w:r>
          <w:r>
            <w:rPr>
              <w:rFonts w:hint="eastAsia"/>
              <w:sz w:val="28"/>
              <w:szCs w:val="28"/>
              <w:lang w:val="en-US" w:eastAsia="zh-CN"/>
            </w:rPr>
            <w:t xml:space="preserve">第五章 </w:t>
          </w:r>
          <w:r>
            <w:rPr>
              <w:sz w:val="28"/>
              <w:szCs w:val="28"/>
            </w:rPr>
            <w:t>合同条款</w:t>
          </w:r>
          <w:r>
            <w:rPr>
              <w:rFonts w:hint="eastAsia"/>
              <w:sz w:val="28"/>
              <w:szCs w:val="28"/>
              <w:lang w:val="en-US" w:eastAsia="zh-CN"/>
            </w:rPr>
            <w:t>及格式</w:t>
          </w:r>
          <w:r>
            <w:rPr>
              <w:sz w:val="28"/>
              <w:szCs w:val="28"/>
            </w:rPr>
            <w:tab/>
          </w:r>
          <w:r>
            <w:rPr>
              <w:sz w:val="28"/>
              <w:szCs w:val="28"/>
            </w:rPr>
            <w:fldChar w:fldCharType="begin"/>
          </w:r>
          <w:r>
            <w:rPr>
              <w:sz w:val="28"/>
              <w:szCs w:val="28"/>
            </w:rPr>
            <w:instrText xml:space="preserve"> PAGEREF _Toc23428 </w:instrText>
          </w:r>
          <w:r>
            <w:rPr>
              <w:sz w:val="28"/>
              <w:szCs w:val="28"/>
            </w:rPr>
            <w:fldChar w:fldCharType="separate"/>
          </w:r>
          <w:r>
            <w:rPr>
              <w:sz w:val="28"/>
              <w:szCs w:val="28"/>
            </w:rPr>
            <w:t>23</w:t>
          </w:r>
          <w:r>
            <w:rPr>
              <w:sz w:val="28"/>
              <w:szCs w:val="28"/>
            </w:rPr>
            <w:fldChar w:fldCharType="end"/>
          </w:r>
          <w:r>
            <w:rPr>
              <w:sz w:val="28"/>
              <w:szCs w:val="28"/>
            </w:rPr>
            <w:fldChar w:fldCharType="end"/>
          </w:r>
        </w:p>
        <w:p>
          <w:pPr>
            <w:pStyle w:val="16"/>
            <w:keepNext w:val="0"/>
            <w:keepLines w:val="0"/>
            <w:pageBreakBefore w:val="0"/>
            <w:widowControl w:val="0"/>
            <w:tabs>
              <w:tab w:val="right" w:leader="dot" w:pos="8310"/>
            </w:tabs>
            <w:kinsoku/>
            <w:wordWrap/>
            <w:overflowPunct/>
            <w:topLinePunct w:val="0"/>
            <w:autoSpaceDE w:val="0"/>
            <w:autoSpaceDN w:val="0"/>
            <w:bidi w:val="0"/>
            <w:adjustRightInd/>
            <w:snapToGrid/>
            <w:spacing w:line="480" w:lineRule="auto"/>
            <w:textAlignment w:val="auto"/>
            <w:rPr>
              <w:sz w:val="28"/>
              <w:szCs w:val="28"/>
            </w:rPr>
          </w:pPr>
          <w:r>
            <w:rPr>
              <w:sz w:val="28"/>
              <w:szCs w:val="28"/>
            </w:rPr>
            <w:fldChar w:fldCharType="begin"/>
          </w:r>
          <w:r>
            <w:rPr>
              <w:sz w:val="28"/>
              <w:szCs w:val="28"/>
            </w:rPr>
            <w:instrText xml:space="preserve"> HYPERLINK \l _Toc13845 </w:instrText>
          </w:r>
          <w:r>
            <w:rPr>
              <w:sz w:val="28"/>
              <w:szCs w:val="28"/>
            </w:rPr>
            <w:fldChar w:fldCharType="separate"/>
          </w:r>
          <w:r>
            <w:rPr>
              <w:rFonts w:hint="eastAsia" w:ascii="宋体" w:hAnsi="宋体" w:cs="宋体"/>
              <w:sz w:val="28"/>
              <w:szCs w:val="28"/>
            </w:rPr>
            <w:t>第一部分 建设工程委托监理合同</w:t>
          </w:r>
          <w:r>
            <w:rPr>
              <w:sz w:val="28"/>
              <w:szCs w:val="28"/>
            </w:rPr>
            <w:tab/>
          </w:r>
          <w:r>
            <w:rPr>
              <w:sz w:val="28"/>
              <w:szCs w:val="28"/>
            </w:rPr>
            <w:fldChar w:fldCharType="begin"/>
          </w:r>
          <w:r>
            <w:rPr>
              <w:sz w:val="28"/>
              <w:szCs w:val="28"/>
            </w:rPr>
            <w:instrText xml:space="preserve"> PAGEREF _Toc13845 </w:instrText>
          </w:r>
          <w:r>
            <w:rPr>
              <w:sz w:val="28"/>
              <w:szCs w:val="28"/>
            </w:rPr>
            <w:fldChar w:fldCharType="separate"/>
          </w:r>
          <w:r>
            <w:rPr>
              <w:sz w:val="28"/>
              <w:szCs w:val="28"/>
            </w:rPr>
            <w:t>24</w:t>
          </w:r>
          <w:r>
            <w:rPr>
              <w:sz w:val="28"/>
              <w:szCs w:val="28"/>
            </w:rPr>
            <w:fldChar w:fldCharType="end"/>
          </w:r>
          <w:r>
            <w:rPr>
              <w:sz w:val="28"/>
              <w:szCs w:val="28"/>
            </w:rPr>
            <w:fldChar w:fldCharType="end"/>
          </w:r>
        </w:p>
        <w:p>
          <w:pPr>
            <w:pStyle w:val="16"/>
            <w:keepNext w:val="0"/>
            <w:keepLines w:val="0"/>
            <w:pageBreakBefore w:val="0"/>
            <w:widowControl w:val="0"/>
            <w:tabs>
              <w:tab w:val="right" w:leader="dot" w:pos="8310"/>
            </w:tabs>
            <w:kinsoku/>
            <w:wordWrap/>
            <w:overflowPunct/>
            <w:topLinePunct w:val="0"/>
            <w:autoSpaceDE w:val="0"/>
            <w:autoSpaceDN w:val="0"/>
            <w:bidi w:val="0"/>
            <w:adjustRightInd/>
            <w:snapToGrid/>
            <w:spacing w:line="480" w:lineRule="auto"/>
            <w:textAlignment w:val="auto"/>
            <w:rPr>
              <w:sz w:val="28"/>
              <w:szCs w:val="28"/>
            </w:rPr>
          </w:pPr>
          <w:r>
            <w:rPr>
              <w:sz w:val="28"/>
              <w:szCs w:val="28"/>
            </w:rPr>
            <w:fldChar w:fldCharType="begin"/>
          </w:r>
          <w:r>
            <w:rPr>
              <w:sz w:val="28"/>
              <w:szCs w:val="28"/>
            </w:rPr>
            <w:instrText xml:space="preserve"> HYPERLINK \l _Toc30262 </w:instrText>
          </w:r>
          <w:r>
            <w:rPr>
              <w:sz w:val="28"/>
              <w:szCs w:val="28"/>
            </w:rPr>
            <w:fldChar w:fldCharType="separate"/>
          </w:r>
          <w:r>
            <w:rPr>
              <w:rFonts w:hint="eastAsia" w:ascii="宋体" w:hAnsi="宋体" w:eastAsia="宋体" w:cs="宋体"/>
              <w:sz w:val="28"/>
              <w:szCs w:val="28"/>
            </w:rPr>
            <w:t>第二部分 标准条件</w:t>
          </w:r>
          <w:r>
            <w:rPr>
              <w:sz w:val="28"/>
              <w:szCs w:val="28"/>
            </w:rPr>
            <w:tab/>
          </w:r>
          <w:r>
            <w:rPr>
              <w:sz w:val="28"/>
              <w:szCs w:val="28"/>
            </w:rPr>
            <w:fldChar w:fldCharType="begin"/>
          </w:r>
          <w:r>
            <w:rPr>
              <w:sz w:val="28"/>
              <w:szCs w:val="28"/>
            </w:rPr>
            <w:instrText xml:space="preserve"> PAGEREF _Toc30262 </w:instrText>
          </w:r>
          <w:r>
            <w:rPr>
              <w:sz w:val="28"/>
              <w:szCs w:val="28"/>
            </w:rPr>
            <w:fldChar w:fldCharType="separate"/>
          </w:r>
          <w:r>
            <w:rPr>
              <w:sz w:val="28"/>
              <w:szCs w:val="28"/>
            </w:rPr>
            <w:t>25</w:t>
          </w:r>
          <w:r>
            <w:rPr>
              <w:sz w:val="28"/>
              <w:szCs w:val="28"/>
            </w:rPr>
            <w:fldChar w:fldCharType="end"/>
          </w:r>
          <w:r>
            <w:rPr>
              <w:sz w:val="28"/>
              <w:szCs w:val="28"/>
            </w:rPr>
            <w:fldChar w:fldCharType="end"/>
          </w:r>
        </w:p>
        <w:p>
          <w:pPr>
            <w:pStyle w:val="16"/>
            <w:keepNext w:val="0"/>
            <w:keepLines w:val="0"/>
            <w:pageBreakBefore w:val="0"/>
            <w:widowControl w:val="0"/>
            <w:tabs>
              <w:tab w:val="right" w:leader="dot" w:pos="8310"/>
            </w:tabs>
            <w:kinsoku/>
            <w:wordWrap/>
            <w:overflowPunct/>
            <w:topLinePunct w:val="0"/>
            <w:autoSpaceDE w:val="0"/>
            <w:autoSpaceDN w:val="0"/>
            <w:bidi w:val="0"/>
            <w:adjustRightInd/>
            <w:snapToGrid/>
            <w:spacing w:line="480" w:lineRule="auto"/>
            <w:textAlignment w:val="auto"/>
            <w:rPr>
              <w:sz w:val="28"/>
              <w:szCs w:val="28"/>
            </w:rPr>
          </w:pPr>
          <w:r>
            <w:rPr>
              <w:sz w:val="28"/>
              <w:szCs w:val="28"/>
            </w:rPr>
            <w:fldChar w:fldCharType="begin"/>
          </w:r>
          <w:r>
            <w:rPr>
              <w:sz w:val="28"/>
              <w:szCs w:val="28"/>
            </w:rPr>
            <w:instrText xml:space="preserve"> HYPERLINK \l _Toc9035 </w:instrText>
          </w:r>
          <w:r>
            <w:rPr>
              <w:sz w:val="28"/>
              <w:szCs w:val="28"/>
            </w:rPr>
            <w:fldChar w:fldCharType="separate"/>
          </w:r>
          <w:r>
            <w:rPr>
              <w:rFonts w:hint="eastAsia" w:ascii="宋体" w:hAnsi="宋体" w:eastAsia="宋体" w:cs="宋体"/>
              <w:sz w:val="28"/>
              <w:szCs w:val="28"/>
            </w:rPr>
            <w:t>第三部分专用条款</w:t>
          </w:r>
          <w:r>
            <w:rPr>
              <w:sz w:val="28"/>
              <w:szCs w:val="28"/>
            </w:rPr>
            <w:tab/>
          </w:r>
          <w:r>
            <w:rPr>
              <w:sz w:val="28"/>
              <w:szCs w:val="28"/>
            </w:rPr>
            <w:fldChar w:fldCharType="begin"/>
          </w:r>
          <w:r>
            <w:rPr>
              <w:sz w:val="28"/>
              <w:szCs w:val="28"/>
            </w:rPr>
            <w:instrText xml:space="preserve"> PAGEREF _Toc9035 </w:instrText>
          </w:r>
          <w:r>
            <w:rPr>
              <w:sz w:val="28"/>
              <w:szCs w:val="28"/>
            </w:rPr>
            <w:fldChar w:fldCharType="separate"/>
          </w:r>
          <w:r>
            <w:rPr>
              <w:sz w:val="28"/>
              <w:szCs w:val="28"/>
            </w:rPr>
            <w:t>32</w:t>
          </w:r>
          <w:r>
            <w:rPr>
              <w:sz w:val="28"/>
              <w:szCs w:val="28"/>
            </w:rPr>
            <w:fldChar w:fldCharType="end"/>
          </w:r>
          <w:r>
            <w:rPr>
              <w:sz w:val="28"/>
              <w:szCs w:val="28"/>
            </w:rPr>
            <w:fldChar w:fldCharType="end"/>
          </w:r>
        </w:p>
        <w:p>
          <w:pPr>
            <w:pStyle w:val="16"/>
            <w:keepNext w:val="0"/>
            <w:keepLines w:val="0"/>
            <w:pageBreakBefore w:val="0"/>
            <w:widowControl w:val="0"/>
            <w:tabs>
              <w:tab w:val="right" w:leader="dot" w:pos="8310"/>
            </w:tabs>
            <w:kinsoku/>
            <w:wordWrap/>
            <w:overflowPunct/>
            <w:topLinePunct w:val="0"/>
            <w:autoSpaceDE w:val="0"/>
            <w:autoSpaceDN w:val="0"/>
            <w:bidi w:val="0"/>
            <w:adjustRightInd/>
            <w:snapToGrid/>
            <w:spacing w:line="480" w:lineRule="auto"/>
            <w:textAlignment w:val="auto"/>
            <w:rPr>
              <w:sz w:val="28"/>
              <w:szCs w:val="28"/>
            </w:rPr>
          </w:pPr>
          <w:r>
            <w:rPr>
              <w:sz w:val="28"/>
              <w:szCs w:val="28"/>
            </w:rPr>
            <w:fldChar w:fldCharType="begin"/>
          </w:r>
          <w:r>
            <w:rPr>
              <w:sz w:val="28"/>
              <w:szCs w:val="28"/>
            </w:rPr>
            <w:instrText xml:space="preserve"> HYPERLINK \l _Toc31953 </w:instrText>
          </w:r>
          <w:r>
            <w:rPr>
              <w:sz w:val="28"/>
              <w:szCs w:val="28"/>
            </w:rPr>
            <w:fldChar w:fldCharType="separate"/>
          </w:r>
          <w:r>
            <w:rPr>
              <w:rFonts w:hint="eastAsia" w:ascii="宋体" w:hAnsi="宋体" w:eastAsia="宋体" w:cs="宋体"/>
              <w:sz w:val="28"/>
              <w:szCs w:val="28"/>
            </w:rPr>
            <w:t>第四部分主要补充条款</w:t>
          </w:r>
          <w:r>
            <w:rPr>
              <w:sz w:val="28"/>
              <w:szCs w:val="28"/>
            </w:rPr>
            <w:tab/>
          </w:r>
          <w:r>
            <w:rPr>
              <w:sz w:val="28"/>
              <w:szCs w:val="28"/>
            </w:rPr>
            <w:fldChar w:fldCharType="begin"/>
          </w:r>
          <w:r>
            <w:rPr>
              <w:sz w:val="28"/>
              <w:szCs w:val="28"/>
            </w:rPr>
            <w:instrText xml:space="preserve"> PAGEREF _Toc31953 </w:instrText>
          </w:r>
          <w:r>
            <w:rPr>
              <w:sz w:val="28"/>
              <w:szCs w:val="28"/>
            </w:rPr>
            <w:fldChar w:fldCharType="separate"/>
          </w:r>
          <w:r>
            <w:rPr>
              <w:sz w:val="28"/>
              <w:szCs w:val="28"/>
            </w:rPr>
            <w:t>35</w:t>
          </w:r>
          <w:r>
            <w:rPr>
              <w:sz w:val="28"/>
              <w:szCs w:val="28"/>
            </w:rPr>
            <w:fldChar w:fldCharType="end"/>
          </w:r>
          <w:r>
            <w:rPr>
              <w:sz w:val="28"/>
              <w:szCs w:val="28"/>
            </w:rPr>
            <w:fldChar w:fldCharType="end"/>
          </w:r>
        </w:p>
        <w:p>
          <w:pPr>
            <w:pStyle w:val="16"/>
            <w:keepNext w:val="0"/>
            <w:keepLines w:val="0"/>
            <w:pageBreakBefore w:val="0"/>
            <w:widowControl w:val="0"/>
            <w:tabs>
              <w:tab w:val="right" w:leader="dot" w:pos="8310"/>
            </w:tabs>
            <w:kinsoku/>
            <w:wordWrap/>
            <w:overflowPunct/>
            <w:topLinePunct w:val="0"/>
            <w:autoSpaceDE w:val="0"/>
            <w:autoSpaceDN w:val="0"/>
            <w:bidi w:val="0"/>
            <w:adjustRightInd/>
            <w:snapToGrid/>
            <w:spacing w:line="480" w:lineRule="auto"/>
            <w:textAlignment w:val="auto"/>
            <w:rPr>
              <w:sz w:val="28"/>
              <w:szCs w:val="28"/>
            </w:rPr>
          </w:pPr>
          <w:r>
            <w:rPr>
              <w:sz w:val="28"/>
              <w:szCs w:val="28"/>
            </w:rPr>
            <w:fldChar w:fldCharType="begin"/>
          </w:r>
          <w:r>
            <w:rPr>
              <w:sz w:val="28"/>
              <w:szCs w:val="28"/>
            </w:rPr>
            <w:instrText xml:space="preserve"> HYPERLINK \l _Toc4700 </w:instrText>
          </w:r>
          <w:r>
            <w:rPr>
              <w:sz w:val="28"/>
              <w:szCs w:val="28"/>
            </w:rPr>
            <w:fldChar w:fldCharType="separate"/>
          </w:r>
          <w:r>
            <w:rPr>
              <w:rFonts w:hint="eastAsia" w:ascii="宋体"/>
              <w:sz w:val="28"/>
              <w:szCs w:val="28"/>
            </w:rPr>
            <w:t>第</w:t>
          </w:r>
          <w:r>
            <w:rPr>
              <w:rFonts w:hint="eastAsia"/>
              <w:sz w:val="28"/>
              <w:szCs w:val="28"/>
              <w:lang w:val="en-US" w:eastAsia="zh-CN"/>
            </w:rPr>
            <w:t>六</w:t>
          </w:r>
          <w:r>
            <w:rPr>
              <w:rFonts w:hint="eastAsia" w:ascii="宋体"/>
              <w:sz w:val="28"/>
              <w:szCs w:val="28"/>
            </w:rPr>
            <w:t>章  投标文件格式</w:t>
          </w:r>
          <w:r>
            <w:rPr>
              <w:sz w:val="28"/>
              <w:szCs w:val="28"/>
            </w:rPr>
            <w:tab/>
          </w:r>
          <w:r>
            <w:rPr>
              <w:sz w:val="28"/>
              <w:szCs w:val="28"/>
            </w:rPr>
            <w:fldChar w:fldCharType="begin"/>
          </w:r>
          <w:r>
            <w:rPr>
              <w:sz w:val="28"/>
              <w:szCs w:val="28"/>
            </w:rPr>
            <w:instrText xml:space="preserve"> PAGEREF _Toc4700 </w:instrText>
          </w:r>
          <w:r>
            <w:rPr>
              <w:sz w:val="28"/>
              <w:szCs w:val="28"/>
            </w:rPr>
            <w:fldChar w:fldCharType="separate"/>
          </w:r>
          <w:r>
            <w:rPr>
              <w:sz w:val="28"/>
              <w:szCs w:val="28"/>
            </w:rPr>
            <w:t>41</w:t>
          </w:r>
          <w:r>
            <w:rPr>
              <w:sz w:val="28"/>
              <w:szCs w:val="28"/>
            </w:rPr>
            <w:fldChar w:fldCharType="end"/>
          </w:r>
          <w:r>
            <w:rPr>
              <w:sz w:val="28"/>
              <w:szCs w:val="28"/>
            </w:rPr>
            <w:fldChar w:fldCharType="end"/>
          </w:r>
        </w:p>
        <w:p>
          <w:pPr>
            <w:pStyle w:val="16"/>
            <w:keepNext w:val="0"/>
            <w:keepLines w:val="0"/>
            <w:pageBreakBefore w:val="0"/>
            <w:widowControl w:val="0"/>
            <w:tabs>
              <w:tab w:val="right" w:leader="dot" w:pos="8310"/>
            </w:tabs>
            <w:kinsoku/>
            <w:wordWrap/>
            <w:overflowPunct/>
            <w:topLinePunct w:val="0"/>
            <w:autoSpaceDE w:val="0"/>
            <w:autoSpaceDN w:val="0"/>
            <w:bidi w:val="0"/>
            <w:adjustRightInd/>
            <w:snapToGrid/>
            <w:spacing w:line="480" w:lineRule="auto"/>
            <w:textAlignment w:val="auto"/>
            <w:rPr>
              <w:sz w:val="28"/>
              <w:szCs w:val="28"/>
            </w:rPr>
          </w:pPr>
          <w:r>
            <w:rPr>
              <w:sz w:val="28"/>
              <w:szCs w:val="28"/>
            </w:rPr>
            <w:fldChar w:fldCharType="begin"/>
          </w:r>
          <w:r>
            <w:rPr>
              <w:sz w:val="28"/>
              <w:szCs w:val="28"/>
            </w:rPr>
            <w:instrText xml:space="preserve"> HYPERLINK \l _Toc24086 </w:instrText>
          </w:r>
          <w:r>
            <w:rPr>
              <w:sz w:val="28"/>
              <w:szCs w:val="28"/>
            </w:rPr>
            <w:fldChar w:fldCharType="separate"/>
          </w:r>
          <w:r>
            <w:rPr>
              <w:bCs/>
              <w:sz w:val="28"/>
              <w:szCs w:val="28"/>
            </w:rPr>
            <w:t xml:space="preserve">投 标 报 价 </w:t>
          </w:r>
          <w:r>
            <w:rPr>
              <w:rFonts w:hint="eastAsia"/>
              <w:bCs/>
              <w:sz w:val="28"/>
              <w:szCs w:val="28"/>
              <w:lang w:val="en-US" w:eastAsia="zh-CN"/>
            </w:rPr>
            <w:t>函</w:t>
          </w:r>
          <w:r>
            <w:rPr>
              <w:sz w:val="28"/>
              <w:szCs w:val="28"/>
            </w:rPr>
            <w:tab/>
          </w:r>
          <w:r>
            <w:rPr>
              <w:sz w:val="28"/>
              <w:szCs w:val="28"/>
            </w:rPr>
            <w:fldChar w:fldCharType="begin"/>
          </w:r>
          <w:r>
            <w:rPr>
              <w:sz w:val="28"/>
              <w:szCs w:val="28"/>
            </w:rPr>
            <w:instrText xml:space="preserve"> PAGEREF _Toc24086 </w:instrText>
          </w:r>
          <w:r>
            <w:rPr>
              <w:sz w:val="28"/>
              <w:szCs w:val="28"/>
            </w:rPr>
            <w:fldChar w:fldCharType="separate"/>
          </w:r>
          <w:r>
            <w:rPr>
              <w:sz w:val="28"/>
              <w:szCs w:val="28"/>
            </w:rPr>
            <w:t>47</w:t>
          </w:r>
          <w:r>
            <w:rPr>
              <w:sz w:val="28"/>
              <w:szCs w:val="28"/>
            </w:rPr>
            <w:fldChar w:fldCharType="end"/>
          </w:r>
          <w:r>
            <w:rPr>
              <w:sz w:val="28"/>
              <w:szCs w:val="28"/>
            </w:rPr>
            <w:fldChar w:fldCharType="end"/>
          </w:r>
        </w:p>
        <w:p>
          <w:pPr>
            <w:pStyle w:val="16"/>
            <w:keepNext w:val="0"/>
            <w:keepLines w:val="0"/>
            <w:pageBreakBefore w:val="0"/>
            <w:widowControl w:val="0"/>
            <w:tabs>
              <w:tab w:val="right" w:leader="dot" w:pos="8310"/>
            </w:tabs>
            <w:kinsoku/>
            <w:wordWrap/>
            <w:overflowPunct/>
            <w:topLinePunct w:val="0"/>
            <w:autoSpaceDE w:val="0"/>
            <w:autoSpaceDN w:val="0"/>
            <w:bidi w:val="0"/>
            <w:adjustRightInd/>
            <w:snapToGrid/>
            <w:spacing w:line="480" w:lineRule="auto"/>
            <w:textAlignment w:val="auto"/>
          </w:pPr>
          <w:r>
            <w:rPr>
              <w:sz w:val="28"/>
              <w:szCs w:val="28"/>
            </w:rPr>
            <w:fldChar w:fldCharType="begin"/>
          </w:r>
          <w:r>
            <w:rPr>
              <w:sz w:val="28"/>
              <w:szCs w:val="28"/>
            </w:rPr>
            <w:instrText xml:space="preserve"> HYPERLINK \l _Toc15820 </w:instrText>
          </w:r>
          <w:r>
            <w:rPr>
              <w:sz w:val="28"/>
              <w:szCs w:val="28"/>
            </w:rPr>
            <w:fldChar w:fldCharType="separate"/>
          </w:r>
          <w:r>
            <w:rPr>
              <w:rFonts w:hint="eastAsia" w:ascii="宋体"/>
              <w:sz w:val="28"/>
              <w:szCs w:val="28"/>
              <w:lang w:eastAsia="zh-CN"/>
            </w:rPr>
            <w:t>第</w:t>
          </w:r>
          <w:r>
            <w:rPr>
              <w:rFonts w:hint="eastAsia"/>
              <w:sz w:val="28"/>
              <w:szCs w:val="28"/>
              <w:lang w:val="en-US" w:eastAsia="zh-CN"/>
            </w:rPr>
            <w:t>七</w:t>
          </w:r>
          <w:r>
            <w:rPr>
              <w:rFonts w:hint="eastAsia" w:ascii="宋体"/>
              <w:sz w:val="28"/>
              <w:szCs w:val="28"/>
              <w:lang w:eastAsia="zh-CN"/>
            </w:rPr>
            <w:t>章</w:t>
          </w:r>
          <w:r>
            <w:rPr>
              <w:rFonts w:hint="eastAsia" w:ascii="宋体"/>
              <w:sz w:val="28"/>
              <w:szCs w:val="28"/>
            </w:rPr>
            <w:t xml:space="preserve"> 招标单位、招标代理机构对本交易文件的确认</w:t>
          </w:r>
          <w:r>
            <w:rPr>
              <w:sz w:val="28"/>
              <w:szCs w:val="28"/>
            </w:rPr>
            <w:tab/>
          </w:r>
          <w:r>
            <w:rPr>
              <w:sz w:val="28"/>
              <w:szCs w:val="28"/>
            </w:rPr>
            <w:fldChar w:fldCharType="begin"/>
          </w:r>
          <w:r>
            <w:rPr>
              <w:sz w:val="28"/>
              <w:szCs w:val="28"/>
            </w:rPr>
            <w:instrText xml:space="preserve"> PAGEREF _Toc15820 </w:instrText>
          </w:r>
          <w:r>
            <w:rPr>
              <w:sz w:val="28"/>
              <w:szCs w:val="28"/>
            </w:rPr>
            <w:fldChar w:fldCharType="separate"/>
          </w:r>
          <w:r>
            <w:rPr>
              <w:sz w:val="28"/>
              <w:szCs w:val="28"/>
            </w:rPr>
            <w:t>48</w:t>
          </w:r>
          <w:r>
            <w:rPr>
              <w:sz w:val="28"/>
              <w:szCs w:val="28"/>
            </w:rPr>
            <w:fldChar w:fldCharType="end"/>
          </w:r>
          <w:r>
            <w:rPr>
              <w:sz w:val="28"/>
              <w:szCs w:val="28"/>
            </w:rPr>
            <w:fldChar w:fldCharType="end"/>
          </w:r>
        </w:p>
        <w:p>
          <w:pPr>
            <w:keepNext w:val="0"/>
            <w:keepLines w:val="0"/>
            <w:pageBreakBefore w:val="0"/>
            <w:widowControl w:val="0"/>
            <w:kinsoku/>
            <w:wordWrap/>
            <w:overflowPunct/>
            <w:topLinePunct w:val="0"/>
            <w:autoSpaceDE w:val="0"/>
            <w:autoSpaceDN w:val="0"/>
            <w:bidi w:val="0"/>
            <w:adjustRightInd/>
            <w:snapToGrid/>
            <w:spacing w:line="480" w:lineRule="auto"/>
            <w:textAlignment w:val="auto"/>
            <w:rPr>
              <w:rFonts w:ascii="宋体" w:hAnsi="宋体" w:eastAsia="宋体" w:cs="宋体"/>
              <w:sz w:val="24"/>
              <w:szCs w:val="24"/>
              <w:lang w:val="en-US" w:eastAsia="en-US" w:bidi="ar-SA"/>
            </w:rPr>
          </w:pPr>
          <w:r>
            <w:rPr>
              <w:szCs w:val="28"/>
            </w:rPr>
            <w:fldChar w:fldCharType="end"/>
          </w:r>
        </w:p>
      </w:sdtContent>
    </w:sdt>
    <w:p>
      <w:pPr>
        <w:pStyle w:val="3"/>
        <w:bidi w:val="0"/>
        <w:sectPr>
          <w:pgSz w:w="11910" w:h="16850"/>
          <w:pgMar w:top="1440" w:right="1800" w:bottom="1440" w:left="1800" w:header="0" w:footer="636" w:gutter="0"/>
          <w:cols w:space="720" w:num="1"/>
        </w:sectPr>
      </w:pPr>
    </w:p>
    <w:p>
      <w:pPr>
        <w:pStyle w:val="3"/>
        <w:bidi w:val="0"/>
      </w:pPr>
      <w:bookmarkStart w:id="1" w:name="_Toc26810"/>
      <w:r>
        <w:t>招标公告</w:t>
      </w:r>
      <w:bookmarkEnd w:id="1"/>
    </w:p>
    <w:p>
      <w:pPr>
        <w:pStyle w:val="10"/>
        <w:spacing w:before="12" w:after="1"/>
        <w:rPr>
          <w:b/>
          <w:sz w:val="7"/>
        </w:rPr>
      </w:pPr>
    </w:p>
    <w:tbl>
      <w:tblPr>
        <w:tblStyle w:val="20"/>
        <w:tblW w:w="10078" w:type="dxa"/>
        <w:tblInd w:w="10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689"/>
        <w:gridCol w:w="83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0" w:hRule="atLeast"/>
        </w:trPr>
        <w:tc>
          <w:tcPr>
            <w:tcW w:w="1689" w:type="dxa"/>
            <w:vAlign w:val="center"/>
          </w:tcPr>
          <w:p>
            <w:pPr>
              <w:pStyle w:val="25"/>
              <w:spacing w:before="78"/>
              <w:ind w:left="105"/>
              <w:jc w:val="left"/>
              <w:rPr>
                <w:rFonts w:hint="eastAsia" w:ascii="宋体" w:hAnsi="宋体" w:eastAsia="宋体" w:cs="宋体"/>
                <w:sz w:val="21"/>
                <w:szCs w:val="21"/>
              </w:rPr>
            </w:pPr>
            <w:bookmarkStart w:id="2" w:name="_bookmark0"/>
            <w:bookmarkEnd w:id="2"/>
            <w:r>
              <w:rPr>
                <w:rFonts w:hint="eastAsia" w:ascii="宋体" w:hAnsi="宋体" w:eastAsia="宋体" w:cs="宋体"/>
                <w:sz w:val="21"/>
                <w:szCs w:val="21"/>
              </w:rPr>
              <w:t>项目名称</w:t>
            </w:r>
          </w:p>
        </w:tc>
        <w:tc>
          <w:tcPr>
            <w:tcW w:w="8389" w:type="dxa"/>
          </w:tcPr>
          <w:p>
            <w:pPr>
              <w:pStyle w:val="25"/>
              <w:spacing w:before="78"/>
              <w:ind w:left="105"/>
              <w:rPr>
                <w:sz w:val="21"/>
                <w:szCs w:val="21"/>
              </w:rPr>
            </w:pPr>
            <w:r>
              <w:rPr>
                <w:rFonts w:hint="eastAsia"/>
                <w:sz w:val="21"/>
                <w:szCs w:val="21"/>
                <w:lang w:val="en-US" w:eastAsia="zh-CN"/>
              </w:rPr>
              <w:t>红花桥路（览山路-红花桥水库）监理项目</w:t>
            </w:r>
            <w:r>
              <w:rPr>
                <w:sz w:val="21"/>
                <w:szCs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0" w:hRule="atLeast"/>
        </w:trPr>
        <w:tc>
          <w:tcPr>
            <w:tcW w:w="1689" w:type="dxa"/>
            <w:vAlign w:val="center"/>
          </w:tcPr>
          <w:p>
            <w:pPr>
              <w:pStyle w:val="25"/>
              <w:spacing w:before="63"/>
              <w:ind w:left="105"/>
              <w:jc w:val="left"/>
              <w:rPr>
                <w:rFonts w:hint="eastAsia" w:ascii="宋体" w:hAnsi="宋体" w:eastAsia="宋体" w:cs="宋体"/>
                <w:sz w:val="21"/>
                <w:szCs w:val="21"/>
              </w:rPr>
            </w:pPr>
            <w:r>
              <w:rPr>
                <w:rFonts w:hint="eastAsia" w:ascii="宋体" w:hAnsi="宋体" w:eastAsia="宋体" w:cs="宋体"/>
                <w:sz w:val="21"/>
                <w:szCs w:val="21"/>
              </w:rPr>
              <w:t>项目地点</w:t>
            </w:r>
          </w:p>
        </w:tc>
        <w:tc>
          <w:tcPr>
            <w:tcW w:w="8389" w:type="dxa"/>
          </w:tcPr>
          <w:p>
            <w:pPr>
              <w:pStyle w:val="25"/>
              <w:spacing w:before="63"/>
              <w:ind w:left="105"/>
              <w:rPr>
                <w:rFonts w:hint="default" w:eastAsia="宋体"/>
                <w:sz w:val="21"/>
                <w:szCs w:val="21"/>
                <w:lang w:val="en-US" w:eastAsia="zh-CN"/>
              </w:rPr>
            </w:pPr>
            <w:r>
              <w:rPr>
                <w:rFonts w:hint="eastAsia"/>
                <w:sz w:val="21"/>
                <w:szCs w:val="21"/>
                <w:lang w:val="en-US" w:eastAsia="zh-CN"/>
              </w:rPr>
              <w:t>安徽省滁州市琅琊山旅游区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1689" w:type="dxa"/>
            <w:vAlign w:val="center"/>
          </w:tcPr>
          <w:p>
            <w:pPr>
              <w:pStyle w:val="25"/>
              <w:spacing w:before="78"/>
              <w:ind w:left="105"/>
              <w:jc w:val="left"/>
              <w:rPr>
                <w:rFonts w:hint="default" w:ascii="宋体" w:hAnsi="宋体" w:eastAsia="宋体" w:cs="宋体"/>
                <w:sz w:val="21"/>
                <w:szCs w:val="21"/>
                <w:lang w:val="en-US" w:eastAsia="zh-CN"/>
              </w:rPr>
            </w:pPr>
            <w:r>
              <w:rPr>
                <w:rFonts w:hint="eastAsia" w:cs="宋体"/>
                <w:sz w:val="21"/>
                <w:szCs w:val="21"/>
                <w:lang w:val="en-US" w:eastAsia="zh-CN"/>
              </w:rPr>
              <w:t>招标单位</w:t>
            </w:r>
          </w:p>
        </w:tc>
        <w:tc>
          <w:tcPr>
            <w:tcW w:w="8389" w:type="dxa"/>
          </w:tcPr>
          <w:p>
            <w:pPr>
              <w:pStyle w:val="25"/>
              <w:spacing w:before="78"/>
              <w:ind w:left="105"/>
              <w:rPr>
                <w:sz w:val="21"/>
                <w:szCs w:val="21"/>
              </w:rPr>
            </w:pPr>
            <w:r>
              <w:rPr>
                <w:rFonts w:hint="eastAsia"/>
                <w:sz w:val="21"/>
                <w:szCs w:val="21"/>
                <w:lang w:val="en-US" w:eastAsia="zh-CN"/>
              </w:rPr>
              <w:t>安徽省琅琊山旅游发展有限公司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689" w:type="dxa"/>
            <w:vAlign w:val="center"/>
          </w:tcPr>
          <w:p>
            <w:pPr>
              <w:pStyle w:val="25"/>
              <w:spacing w:before="63"/>
              <w:ind w:left="105"/>
              <w:jc w:val="left"/>
              <w:rPr>
                <w:rFonts w:hint="eastAsia" w:ascii="宋体" w:hAnsi="宋体" w:eastAsia="宋体" w:cs="宋体"/>
                <w:sz w:val="21"/>
                <w:szCs w:val="21"/>
              </w:rPr>
            </w:pPr>
            <w:r>
              <w:rPr>
                <w:rFonts w:hint="eastAsia" w:ascii="宋体" w:hAnsi="宋体" w:eastAsia="宋体" w:cs="宋体"/>
                <w:sz w:val="21"/>
                <w:szCs w:val="21"/>
              </w:rPr>
              <w:t>招标方式</w:t>
            </w:r>
          </w:p>
        </w:tc>
        <w:tc>
          <w:tcPr>
            <w:tcW w:w="8389" w:type="dxa"/>
          </w:tcPr>
          <w:p>
            <w:pPr>
              <w:pStyle w:val="25"/>
              <w:spacing w:before="78"/>
              <w:ind w:left="105"/>
              <w:rPr>
                <w:rFonts w:hint="eastAsia"/>
                <w:sz w:val="21"/>
                <w:szCs w:val="21"/>
                <w:lang w:val="en-US" w:eastAsia="zh-CN"/>
              </w:rPr>
            </w:pPr>
            <w:r>
              <w:rPr>
                <w:rFonts w:hint="eastAsia"/>
                <w:sz w:val="21"/>
                <w:szCs w:val="21"/>
                <w:lang w:val="en-US" w:eastAsia="zh-CN"/>
              </w:rPr>
              <w:t>公开招标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28" w:hRule="atLeast"/>
        </w:trPr>
        <w:tc>
          <w:tcPr>
            <w:tcW w:w="1689" w:type="dxa"/>
            <w:vAlign w:val="center"/>
          </w:tcPr>
          <w:p>
            <w:pPr>
              <w:pStyle w:val="25"/>
              <w:spacing w:line="376" w:lineRule="auto"/>
              <w:ind w:right="286"/>
              <w:jc w:val="center"/>
              <w:rPr>
                <w:rFonts w:hint="eastAsia" w:ascii="宋体" w:hAnsi="宋体" w:eastAsia="宋体" w:cs="宋体"/>
                <w:sz w:val="21"/>
                <w:szCs w:val="21"/>
              </w:rPr>
            </w:pPr>
            <w:r>
              <w:rPr>
                <w:rFonts w:hint="eastAsia" w:ascii="宋体" w:hAnsi="宋体" w:eastAsia="宋体" w:cs="宋体"/>
                <w:w w:val="105"/>
                <w:sz w:val="21"/>
                <w:szCs w:val="21"/>
              </w:rPr>
              <w:t>投标资质条件</w:t>
            </w:r>
            <w:r>
              <w:rPr>
                <w:rFonts w:hint="eastAsia" w:ascii="宋体" w:hAnsi="宋体" w:eastAsia="宋体" w:cs="宋体"/>
                <w:sz w:val="21"/>
                <w:szCs w:val="21"/>
              </w:rPr>
              <w:t>及其他要求</w:t>
            </w:r>
          </w:p>
        </w:tc>
        <w:tc>
          <w:tcPr>
            <w:tcW w:w="8389" w:type="dxa"/>
          </w:tcPr>
          <w:p>
            <w:pPr>
              <w:spacing w:line="360" w:lineRule="exact"/>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 xml:space="preserve">1.企业资质要求：具有独立法人资格且具备市政公用工程监理乙级及以上资质（或综合资质）的企业（备注：投标人必须是2019年安徽省滁州琅琊山零星工程监理库已入库企业）。 </w:t>
            </w:r>
          </w:p>
          <w:p>
            <w:pPr>
              <w:widowControl/>
              <w:spacing w:line="360" w:lineRule="exact"/>
              <w:jc w:val="left"/>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2.总监要求：拟派总监理工程师必须持有在本单位注册的市政公用工程专业国家级注册监理工程师证书。</w:t>
            </w:r>
          </w:p>
          <w:p>
            <w:pPr>
              <w:pStyle w:val="25"/>
              <w:spacing w:before="11" w:line="348" w:lineRule="auto"/>
              <w:ind w:right="83"/>
              <w:jc w:val="both"/>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3、根据《最高人民法院关于公布失信被执行人名单信息的若干规定（法释[2013]17 号）》第六条规定，投标人及其法定代表人、项目负责人在人民法院公布的失信被执行人名单中不得参加投标；</w:t>
            </w:r>
          </w:p>
          <w:p>
            <w:pPr>
              <w:pStyle w:val="25"/>
              <w:spacing w:before="25" w:line="348" w:lineRule="auto"/>
              <w:ind w:right="109"/>
              <w:jc w:val="both"/>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4、投标企业因违反法律、法规、规章规定以及其他扰乱秩序等行为被滁州市公管局披露信用信息的，招标人不接受其在披露期内的投标文件。</w:t>
            </w:r>
          </w:p>
          <w:p>
            <w:pPr>
              <w:pStyle w:val="25"/>
              <w:spacing w:before="111"/>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5、本项目不接受联合体投标。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1689" w:type="dxa"/>
          </w:tcPr>
          <w:p>
            <w:pPr>
              <w:pStyle w:val="25"/>
              <w:spacing w:before="93"/>
              <w:ind w:left="105"/>
              <w:rPr>
                <w:sz w:val="21"/>
                <w:szCs w:val="21"/>
              </w:rPr>
            </w:pPr>
            <w:r>
              <w:rPr>
                <w:sz w:val="21"/>
                <w:szCs w:val="21"/>
              </w:rPr>
              <w:t xml:space="preserve">项目规模 </w:t>
            </w:r>
          </w:p>
        </w:tc>
        <w:tc>
          <w:tcPr>
            <w:tcW w:w="8389" w:type="dxa"/>
          </w:tcPr>
          <w:p>
            <w:pPr>
              <w:pStyle w:val="25"/>
              <w:spacing w:before="78"/>
              <w:ind w:left="105"/>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工程估算价约为2500万元，监理费用约25万元。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4" w:hRule="atLeast"/>
        </w:trPr>
        <w:tc>
          <w:tcPr>
            <w:tcW w:w="1689" w:type="dxa"/>
          </w:tcPr>
          <w:p>
            <w:pPr>
              <w:pStyle w:val="25"/>
              <w:ind w:firstLine="210" w:firstLineChars="100"/>
              <w:jc w:val="both"/>
              <w:rPr>
                <w:sz w:val="21"/>
                <w:szCs w:val="21"/>
              </w:rPr>
            </w:pPr>
            <w:r>
              <w:rPr>
                <w:sz w:val="21"/>
                <w:szCs w:val="21"/>
              </w:rPr>
              <w:t xml:space="preserve">招标范围 </w:t>
            </w:r>
          </w:p>
        </w:tc>
        <w:tc>
          <w:tcPr>
            <w:tcW w:w="8389" w:type="dxa"/>
          </w:tcPr>
          <w:p>
            <w:pPr>
              <w:pStyle w:val="25"/>
              <w:spacing w:before="78"/>
              <w:ind w:left="105"/>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工程施工准备阶段、施工阶段、竣工结算阶段、保修阶段（缺陷责任期）的监理服务。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0" w:hRule="atLeast"/>
        </w:trPr>
        <w:tc>
          <w:tcPr>
            <w:tcW w:w="1689" w:type="dxa"/>
          </w:tcPr>
          <w:p>
            <w:pPr>
              <w:pStyle w:val="25"/>
              <w:spacing w:before="78"/>
              <w:ind w:left="105"/>
              <w:rPr>
                <w:sz w:val="21"/>
                <w:szCs w:val="21"/>
              </w:rPr>
            </w:pPr>
            <w:r>
              <w:rPr>
                <w:sz w:val="21"/>
                <w:szCs w:val="21"/>
              </w:rPr>
              <w:t xml:space="preserve">发布时间 </w:t>
            </w:r>
          </w:p>
        </w:tc>
        <w:tc>
          <w:tcPr>
            <w:tcW w:w="8389" w:type="dxa"/>
          </w:tcPr>
          <w:p>
            <w:pPr>
              <w:pStyle w:val="25"/>
              <w:spacing w:before="78"/>
              <w:ind w:left="105"/>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2020年04月</w:t>
            </w:r>
            <w:r>
              <w:rPr>
                <w:rFonts w:hint="eastAsia" w:cs="宋体"/>
                <w:sz w:val="21"/>
                <w:szCs w:val="21"/>
                <w:lang w:val="en-US" w:eastAsia="zh-CN" w:bidi="ar-SA"/>
              </w:rPr>
              <w:t>28</w:t>
            </w:r>
            <w:r>
              <w:rPr>
                <w:rFonts w:hint="eastAsia" w:ascii="宋体" w:hAnsi="宋体" w:eastAsia="宋体" w:cs="宋体"/>
                <w:sz w:val="21"/>
                <w:szCs w:val="21"/>
                <w:lang w:val="en-US" w:eastAsia="zh-CN" w:bidi="ar-SA"/>
              </w:rPr>
              <w:t xml:space="preserve">日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0" w:hRule="atLeast"/>
        </w:trPr>
        <w:tc>
          <w:tcPr>
            <w:tcW w:w="1689" w:type="dxa"/>
          </w:tcPr>
          <w:p>
            <w:pPr>
              <w:pStyle w:val="25"/>
              <w:spacing w:before="18"/>
              <w:ind w:left="105"/>
              <w:rPr>
                <w:b/>
                <w:sz w:val="21"/>
                <w:szCs w:val="21"/>
              </w:rPr>
            </w:pPr>
            <w:r>
              <w:rPr>
                <w:b/>
                <w:sz w:val="21"/>
                <w:szCs w:val="21"/>
              </w:rPr>
              <w:t>递交投标文件的</w:t>
            </w:r>
            <w:r>
              <w:rPr>
                <w:b/>
                <w:w w:val="101"/>
                <w:sz w:val="21"/>
                <w:szCs w:val="21"/>
              </w:rPr>
              <w:t xml:space="preserve"> </w:t>
            </w:r>
          </w:p>
          <w:p>
            <w:pPr>
              <w:pStyle w:val="25"/>
              <w:spacing w:before="112"/>
              <w:ind w:left="105"/>
              <w:rPr>
                <w:b/>
                <w:sz w:val="21"/>
                <w:szCs w:val="21"/>
              </w:rPr>
            </w:pPr>
            <w:r>
              <w:rPr>
                <w:b/>
                <w:sz w:val="21"/>
                <w:szCs w:val="21"/>
              </w:rPr>
              <w:t>截止时间</w:t>
            </w:r>
            <w:r>
              <w:rPr>
                <w:b/>
                <w:w w:val="101"/>
                <w:sz w:val="21"/>
                <w:szCs w:val="21"/>
              </w:rPr>
              <w:t xml:space="preserve"> </w:t>
            </w:r>
          </w:p>
        </w:tc>
        <w:tc>
          <w:tcPr>
            <w:tcW w:w="8389" w:type="dxa"/>
          </w:tcPr>
          <w:p>
            <w:pPr>
              <w:pStyle w:val="25"/>
              <w:spacing w:before="78"/>
              <w:ind w:left="105"/>
              <w:rPr>
                <w:rFonts w:hint="eastAsia" w:ascii="宋体" w:hAnsi="宋体" w:eastAsia="宋体" w:cs="宋体"/>
                <w:sz w:val="21"/>
                <w:szCs w:val="21"/>
                <w:lang w:val="en-US" w:eastAsia="zh-CN" w:bidi="ar-SA"/>
              </w:rPr>
            </w:pPr>
          </w:p>
          <w:p>
            <w:pPr>
              <w:pStyle w:val="25"/>
              <w:spacing w:before="78"/>
              <w:ind w:left="105"/>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2020年0</w:t>
            </w:r>
            <w:r>
              <w:rPr>
                <w:rFonts w:hint="eastAsia" w:cs="宋体"/>
                <w:sz w:val="21"/>
                <w:szCs w:val="21"/>
                <w:lang w:val="en-US" w:eastAsia="zh-CN" w:bidi="ar-SA"/>
              </w:rPr>
              <w:t>5</w:t>
            </w:r>
            <w:r>
              <w:rPr>
                <w:rFonts w:hint="eastAsia" w:ascii="宋体" w:hAnsi="宋体" w:eastAsia="宋体" w:cs="宋体"/>
                <w:sz w:val="21"/>
                <w:szCs w:val="21"/>
                <w:lang w:val="en-US" w:eastAsia="zh-CN" w:bidi="ar-SA"/>
              </w:rPr>
              <w:t>月</w:t>
            </w:r>
            <w:r>
              <w:rPr>
                <w:rFonts w:hint="eastAsia" w:cs="宋体"/>
                <w:sz w:val="21"/>
                <w:szCs w:val="21"/>
                <w:lang w:val="en-US" w:eastAsia="zh-CN" w:bidi="ar-SA"/>
              </w:rPr>
              <w:t>06</w:t>
            </w:r>
            <w:r>
              <w:rPr>
                <w:rFonts w:hint="eastAsia" w:ascii="宋体" w:hAnsi="宋体" w:eastAsia="宋体" w:cs="宋体"/>
                <w:sz w:val="21"/>
                <w:szCs w:val="21"/>
                <w:lang w:val="en-US" w:eastAsia="zh-CN" w:bidi="ar-SA"/>
              </w:rPr>
              <w:t xml:space="preserve">日 09时00 分（北京时间）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1689" w:type="dxa"/>
          </w:tcPr>
          <w:p>
            <w:pPr>
              <w:pStyle w:val="25"/>
              <w:spacing w:before="93"/>
              <w:ind w:left="105"/>
              <w:rPr>
                <w:b/>
                <w:sz w:val="21"/>
                <w:szCs w:val="21"/>
              </w:rPr>
            </w:pPr>
            <w:r>
              <w:rPr>
                <w:b/>
                <w:sz w:val="21"/>
                <w:szCs w:val="21"/>
              </w:rPr>
              <w:t>开标时间</w:t>
            </w:r>
            <w:r>
              <w:rPr>
                <w:b/>
                <w:w w:val="101"/>
                <w:sz w:val="21"/>
                <w:szCs w:val="21"/>
              </w:rPr>
              <w:t xml:space="preserve"> </w:t>
            </w:r>
          </w:p>
        </w:tc>
        <w:tc>
          <w:tcPr>
            <w:tcW w:w="8389" w:type="dxa"/>
          </w:tcPr>
          <w:p>
            <w:pPr>
              <w:pStyle w:val="25"/>
              <w:spacing w:before="108"/>
              <w:ind w:left="105"/>
              <w:rPr>
                <w:sz w:val="21"/>
                <w:szCs w:val="21"/>
                <w:u w:val="none" w:color="auto"/>
              </w:rPr>
            </w:pPr>
            <w:r>
              <w:rPr>
                <w:rFonts w:hint="eastAsia"/>
                <w:color w:val="auto"/>
                <w:w w:val="105"/>
                <w:sz w:val="21"/>
                <w:szCs w:val="21"/>
                <w:highlight w:val="none"/>
                <w:u w:val="none" w:color="auto"/>
                <w:lang w:eastAsia="zh-CN"/>
              </w:rPr>
              <w:t>2020</w:t>
            </w:r>
            <w:r>
              <w:rPr>
                <w:color w:val="auto"/>
                <w:w w:val="105"/>
                <w:sz w:val="21"/>
                <w:szCs w:val="21"/>
                <w:highlight w:val="none"/>
                <w:u w:val="none" w:color="auto"/>
              </w:rPr>
              <w:t>年</w:t>
            </w:r>
            <w:r>
              <w:rPr>
                <w:rFonts w:hint="eastAsia"/>
                <w:color w:val="auto"/>
                <w:w w:val="105"/>
                <w:sz w:val="21"/>
                <w:szCs w:val="21"/>
                <w:highlight w:val="none"/>
                <w:u w:val="none" w:color="auto"/>
                <w:lang w:val="en-US" w:eastAsia="zh-CN"/>
              </w:rPr>
              <w:t>05</w:t>
            </w:r>
            <w:r>
              <w:rPr>
                <w:color w:val="auto"/>
                <w:w w:val="105"/>
                <w:sz w:val="21"/>
                <w:szCs w:val="21"/>
                <w:highlight w:val="none"/>
                <w:u w:val="none" w:color="auto"/>
              </w:rPr>
              <w:t>月</w:t>
            </w:r>
            <w:r>
              <w:rPr>
                <w:rFonts w:hint="eastAsia"/>
                <w:color w:val="auto"/>
                <w:w w:val="105"/>
                <w:sz w:val="21"/>
                <w:szCs w:val="21"/>
                <w:highlight w:val="none"/>
                <w:u w:val="none" w:color="auto"/>
                <w:lang w:val="en-US" w:eastAsia="zh-CN"/>
              </w:rPr>
              <w:t>06</w:t>
            </w:r>
            <w:r>
              <w:rPr>
                <w:color w:val="auto"/>
                <w:w w:val="105"/>
                <w:sz w:val="21"/>
                <w:szCs w:val="21"/>
                <w:highlight w:val="none"/>
                <w:u w:val="none" w:color="auto"/>
              </w:rPr>
              <w:t>日</w:t>
            </w:r>
            <w:r>
              <w:rPr>
                <w:rFonts w:hint="eastAsia"/>
                <w:color w:val="auto"/>
                <w:w w:val="105"/>
                <w:sz w:val="21"/>
                <w:szCs w:val="21"/>
                <w:highlight w:val="none"/>
                <w:u w:val="none" w:color="auto"/>
                <w:lang w:val="en-US" w:eastAsia="zh-CN"/>
              </w:rPr>
              <w:t xml:space="preserve"> 09</w:t>
            </w:r>
            <w:r>
              <w:rPr>
                <w:color w:val="auto"/>
                <w:w w:val="105"/>
                <w:sz w:val="21"/>
                <w:szCs w:val="21"/>
                <w:highlight w:val="none"/>
                <w:u w:val="none" w:color="auto"/>
              </w:rPr>
              <w:t>时</w:t>
            </w:r>
            <w:r>
              <w:rPr>
                <w:rFonts w:hint="eastAsia"/>
                <w:color w:val="auto"/>
                <w:w w:val="105"/>
                <w:sz w:val="21"/>
                <w:szCs w:val="21"/>
                <w:highlight w:val="none"/>
                <w:u w:val="none" w:color="auto"/>
                <w:lang w:val="en-US" w:eastAsia="zh-CN"/>
              </w:rPr>
              <w:t>00</w:t>
            </w:r>
            <w:r>
              <w:rPr>
                <w:color w:val="auto"/>
                <w:w w:val="105"/>
                <w:sz w:val="21"/>
                <w:szCs w:val="21"/>
                <w:highlight w:val="none"/>
                <w:u w:val="none" w:color="auto"/>
              </w:rPr>
              <w:t xml:space="preserve"> 分（北京时间）</w:t>
            </w:r>
            <w:r>
              <w:rPr>
                <w:w w:val="105"/>
                <w:sz w:val="21"/>
                <w:szCs w:val="21"/>
                <w:u w:val="none" w:color="auto"/>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1689" w:type="dxa"/>
          </w:tcPr>
          <w:p>
            <w:pPr>
              <w:pStyle w:val="25"/>
              <w:spacing w:before="108"/>
              <w:ind w:left="105"/>
              <w:rPr>
                <w:b/>
                <w:sz w:val="21"/>
                <w:szCs w:val="21"/>
              </w:rPr>
            </w:pPr>
            <w:r>
              <w:rPr>
                <w:b/>
                <w:sz w:val="21"/>
                <w:szCs w:val="21"/>
              </w:rPr>
              <w:t>开标地点</w:t>
            </w:r>
            <w:r>
              <w:rPr>
                <w:b/>
                <w:w w:val="101"/>
                <w:sz w:val="21"/>
                <w:szCs w:val="21"/>
              </w:rPr>
              <w:t xml:space="preserve"> </w:t>
            </w:r>
          </w:p>
        </w:tc>
        <w:tc>
          <w:tcPr>
            <w:tcW w:w="8389" w:type="dxa"/>
          </w:tcPr>
          <w:p>
            <w:pPr>
              <w:pStyle w:val="25"/>
              <w:spacing w:before="108"/>
              <w:ind w:left="105"/>
              <w:rPr>
                <w:sz w:val="21"/>
                <w:szCs w:val="21"/>
              </w:rPr>
            </w:pPr>
            <w:r>
              <w:rPr>
                <w:rFonts w:hint="eastAsia"/>
                <w:sz w:val="21"/>
                <w:szCs w:val="21"/>
                <w:highlight w:val="none"/>
              </w:rPr>
              <w:t>滁州市</w:t>
            </w:r>
            <w:r>
              <w:rPr>
                <w:rFonts w:hint="eastAsia"/>
                <w:sz w:val="21"/>
                <w:szCs w:val="21"/>
                <w:highlight w:val="none"/>
                <w:lang w:eastAsia="zh-CN"/>
              </w:rPr>
              <w:t>琅琊山风景名胜区管理委员会</w:t>
            </w:r>
            <w:r>
              <w:rPr>
                <w:rFonts w:hint="eastAsia"/>
                <w:color w:val="auto"/>
                <w:sz w:val="21"/>
                <w:szCs w:val="21"/>
                <w:highlight w:val="none"/>
                <w:u w:val="none"/>
                <w:lang w:val="en-US" w:eastAsia="zh-CN"/>
              </w:rPr>
              <w:t>第一</w:t>
            </w:r>
            <w:r>
              <w:rPr>
                <w:rFonts w:hint="eastAsia"/>
                <w:sz w:val="21"/>
                <w:szCs w:val="21"/>
                <w:highlight w:val="none"/>
                <w:u w:val="none"/>
                <w:lang w:val="en-US" w:eastAsia="zh-CN"/>
              </w:rPr>
              <w:t>会议室（滁州市琅琊古道30号）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0" w:hRule="atLeast"/>
        </w:trPr>
        <w:tc>
          <w:tcPr>
            <w:tcW w:w="10078" w:type="dxa"/>
            <w:gridSpan w:val="2"/>
          </w:tcPr>
          <w:p>
            <w:pPr>
              <w:pStyle w:val="25"/>
              <w:spacing w:before="78"/>
              <w:ind w:left="4361" w:right="4264"/>
              <w:jc w:val="center"/>
              <w:rPr>
                <w:rFonts w:hint="eastAsia" w:ascii="宋体" w:hAnsi="宋体" w:eastAsia="宋体" w:cs="宋体"/>
                <w:sz w:val="21"/>
                <w:szCs w:val="21"/>
              </w:rPr>
            </w:pPr>
            <w:r>
              <w:rPr>
                <w:rFonts w:hint="eastAsia" w:ascii="宋体" w:hAnsi="宋体" w:eastAsia="宋体" w:cs="宋体"/>
                <w:w w:val="105"/>
                <w:sz w:val="21"/>
                <w:szCs w:val="21"/>
              </w:rPr>
              <w:t xml:space="preserve">信 息 内 容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0" w:hRule="atLeast"/>
        </w:trPr>
        <w:tc>
          <w:tcPr>
            <w:tcW w:w="10078" w:type="dxa"/>
            <w:gridSpan w:val="2"/>
          </w:tcPr>
          <w:p>
            <w:pPr>
              <w:pStyle w:val="25"/>
              <w:spacing w:before="93" w:line="376" w:lineRule="auto"/>
              <w:ind w:left="105" w:right="104" w:hanging="15"/>
              <w:jc w:val="both"/>
              <w:rPr>
                <w:rFonts w:hint="eastAsia" w:ascii="宋体" w:hAnsi="宋体" w:eastAsia="宋体" w:cs="宋体"/>
                <w:sz w:val="21"/>
                <w:szCs w:val="21"/>
              </w:rPr>
            </w:pPr>
            <w:r>
              <w:rPr>
                <w:rFonts w:hint="eastAsia" w:ascii="宋体" w:hAnsi="宋体" w:eastAsia="宋体" w:cs="宋体"/>
                <w:spacing w:val="2"/>
                <w:sz w:val="21"/>
                <w:szCs w:val="21"/>
              </w:rPr>
              <w:t>项目概况：</w:t>
            </w:r>
            <w:r>
              <w:rPr>
                <w:rFonts w:hint="eastAsia" w:cs="宋体"/>
                <w:spacing w:val="2"/>
                <w:sz w:val="21"/>
                <w:szCs w:val="21"/>
                <w:lang w:val="en-US" w:eastAsia="zh-CN"/>
              </w:rPr>
              <w:t>红花桥路（览山路-红花桥水库）</w:t>
            </w:r>
            <w:r>
              <w:rPr>
                <w:rFonts w:hint="eastAsia" w:ascii="宋体" w:hAnsi="宋体" w:eastAsia="宋体" w:cs="宋体"/>
                <w:spacing w:val="2"/>
                <w:sz w:val="21"/>
                <w:szCs w:val="21"/>
                <w:lang w:val="en-US" w:eastAsia="zh-CN"/>
              </w:rPr>
              <w:t>监理项目</w:t>
            </w:r>
            <w:r>
              <w:rPr>
                <w:rFonts w:hint="eastAsia" w:ascii="宋体" w:hAnsi="宋体" w:eastAsia="宋体" w:cs="宋体"/>
                <w:spacing w:val="0"/>
                <w:sz w:val="21"/>
                <w:szCs w:val="21"/>
              </w:rPr>
              <w:t>。其中：K0+000.000- K2+438.353段为新建道路纵断面控制点依据现状地形优化确定。由于现状局部地势起伏较大，道路施工时，两侧放坡、做微地形，避免设置护坡、挡墙等。K2+438.353- K4+777.141为现状道路提升段，保持现状道路纵断面。</w:t>
            </w:r>
            <w:r>
              <w:rPr>
                <w:rFonts w:hint="eastAsia" w:ascii="宋体" w:hAnsi="宋体" w:eastAsia="宋体" w:cs="宋体"/>
                <w:sz w:val="21"/>
                <w:szCs w:val="21"/>
              </w:rPr>
              <w:t>具体见施工图纸及工程量清单。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0" w:hRule="atLeast"/>
        </w:trPr>
        <w:tc>
          <w:tcPr>
            <w:tcW w:w="10078" w:type="dxa"/>
            <w:gridSpan w:val="2"/>
          </w:tcPr>
          <w:p>
            <w:pPr>
              <w:pStyle w:val="25"/>
              <w:spacing w:before="78"/>
              <w:ind w:left="105"/>
              <w:rPr>
                <w:rFonts w:hint="eastAsia" w:ascii="宋体" w:hAnsi="宋体" w:eastAsia="宋体" w:cs="宋体"/>
                <w:sz w:val="21"/>
                <w:szCs w:val="21"/>
              </w:rPr>
            </w:pPr>
            <w:r>
              <w:rPr>
                <w:rFonts w:hint="eastAsia" w:ascii="宋体" w:hAnsi="宋体" w:eastAsia="宋体" w:cs="宋体"/>
                <w:b/>
                <w:sz w:val="21"/>
                <w:szCs w:val="21"/>
              </w:rPr>
              <w:t>标段划分：一个标段。</w:t>
            </w:r>
            <w:r>
              <w:rPr>
                <w:rFonts w:hint="eastAsia" w:ascii="宋体" w:hAnsi="宋体" w:eastAsia="宋体" w:cs="宋体"/>
                <w:w w:val="102"/>
                <w:sz w:val="21"/>
                <w:szCs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0" w:hRule="atLeast"/>
        </w:trPr>
        <w:tc>
          <w:tcPr>
            <w:tcW w:w="10078" w:type="dxa"/>
            <w:gridSpan w:val="2"/>
          </w:tcPr>
          <w:p>
            <w:pPr>
              <w:pStyle w:val="25"/>
              <w:spacing w:before="153"/>
              <w:ind w:left="105"/>
              <w:rPr>
                <w:rFonts w:hint="eastAsia" w:ascii="宋体" w:hAnsi="宋体" w:eastAsia="宋体" w:cs="宋体"/>
                <w:sz w:val="21"/>
                <w:szCs w:val="21"/>
              </w:rPr>
            </w:pPr>
            <w:r>
              <w:rPr>
                <w:rFonts w:hint="eastAsia" w:ascii="宋体" w:hAnsi="宋体" w:eastAsia="宋体" w:cs="宋体"/>
                <w:color w:val="0D0D0D"/>
                <w:sz w:val="21"/>
                <w:szCs w:val="21"/>
              </w:rPr>
              <w:t>评标办法：</w:t>
            </w:r>
            <w:r>
              <w:rPr>
                <w:rFonts w:hint="eastAsia" w:cs="宋体"/>
                <w:color w:val="0D0D0D"/>
                <w:sz w:val="21"/>
                <w:szCs w:val="21"/>
                <w:lang w:val="en-US" w:eastAsia="zh-CN"/>
              </w:rPr>
              <w:t>合理低价法</w:t>
            </w:r>
            <w:r>
              <w:rPr>
                <w:rFonts w:hint="eastAsia" w:ascii="宋体" w:hAnsi="宋体" w:eastAsia="宋体" w:cs="宋体"/>
                <w:color w:val="0D0D0D"/>
                <w:sz w:val="21"/>
                <w:szCs w:val="21"/>
                <w:lang w:eastAsia="zh-CN"/>
              </w:rPr>
              <w:t>（</w:t>
            </w:r>
            <w:r>
              <w:rPr>
                <w:rFonts w:hint="eastAsia" w:ascii="宋体" w:hAnsi="宋体" w:eastAsia="宋体" w:cs="宋体"/>
                <w:color w:val="0D0D0D"/>
                <w:sz w:val="21"/>
                <w:szCs w:val="21"/>
                <w:lang w:val="en-US" w:eastAsia="zh-CN"/>
              </w:rPr>
              <w:t>费率</w:t>
            </w:r>
            <w:r>
              <w:rPr>
                <w:rFonts w:hint="eastAsia" w:ascii="宋体" w:hAnsi="宋体" w:eastAsia="宋体" w:cs="宋体"/>
                <w:color w:val="0D0D0D"/>
                <w:sz w:val="21"/>
                <w:szCs w:val="21"/>
                <w:lang w:eastAsia="zh-CN"/>
              </w:rPr>
              <w:t>）</w:t>
            </w:r>
          </w:p>
        </w:tc>
      </w:tr>
    </w:tbl>
    <w:p>
      <w:pPr>
        <w:spacing w:after="0"/>
        <w:rPr>
          <w:sz w:val="20"/>
          <w:szCs w:val="20"/>
        </w:rPr>
        <w:sectPr>
          <w:pgSz w:w="11910" w:h="16850"/>
          <w:pgMar w:top="1200" w:right="740" w:bottom="880" w:left="860" w:header="0" w:footer="636" w:gutter="0"/>
          <w:cols w:space="720" w:num="1"/>
        </w:sectPr>
      </w:pPr>
    </w:p>
    <w:tbl>
      <w:tblPr>
        <w:tblStyle w:val="20"/>
        <w:tblW w:w="10078" w:type="dxa"/>
        <w:tblInd w:w="10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
      <w:tblGrid>
        <w:gridCol w:w="3064"/>
        <w:gridCol w:w="1442"/>
        <w:gridCol w:w="601"/>
        <w:gridCol w:w="4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440" w:hRule="atLeast"/>
        </w:trPr>
        <w:tc>
          <w:tcPr>
            <w:tcW w:w="3064" w:type="dxa"/>
          </w:tcPr>
          <w:p>
            <w:pPr>
              <w:pStyle w:val="25"/>
              <w:spacing w:before="123"/>
              <w:ind w:left="105"/>
              <w:rPr>
                <w:sz w:val="21"/>
                <w:szCs w:val="21"/>
              </w:rPr>
            </w:pPr>
            <w:r>
              <w:rPr>
                <w:color w:val="0D0D0D"/>
                <w:sz w:val="21"/>
                <w:szCs w:val="21"/>
              </w:rPr>
              <w:t>资金来源：财政资金</w:t>
            </w:r>
          </w:p>
        </w:tc>
        <w:tc>
          <w:tcPr>
            <w:tcW w:w="2043" w:type="dxa"/>
            <w:gridSpan w:val="2"/>
          </w:tcPr>
          <w:p>
            <w:pPr>
              <w:pStyle w:val="25"/>
              <w:spacing w:before="123"/>
              <w:ind w:left="105"/>
              <w:rPr>
                <w:sz w:val="21"/>
                <w:szCs w:val="21"/>
              </w:rPr>
            </w:pPr>
            <w:r>
              <w:rPr>
                <w:color w:val="0D0D0D"/>
                <w:sz w:val="21"/>
                <w:szCs w:val="21"/>
              </w:rPr>
              <w:t>监理款支付方式：</w:t>
            </w:r>
          </w:p>
        </w:tc>
        <w:tc>
          <w:tcPr>
            <w:tcW w:w="4971" w:type="dxa"/>
          </w:tcPr>
          <w:p>
            <w:pPr>
              <w:pStyle w:val="25"/>
              <w:spacing w:before="123"/>
              <w:ind w:left="105"/>
              <w:rPr>
                <w:sz w:val="21"/>
                <w:szCs w:val="21"/>
              </w:rPr>
            </w:pPr>
            <w:r>
              <w:rPr>
                <w:color w:val="0D0D0D"/>
                <w:sz w:val="21"/>
                <w:szCs w:val="21"/>
              </w:rPr>
              <w:t xml:space="preserve">详见招标文件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563" w:hRule="atLeast"/>
        </w:trPr>
        <w:tc>
          <w:tcPr>
            <w:tcW w:w="10078" w:type="dxa"/>
            <w:gridSpan w:val="4"/>
            <w:vAlign w:val="center"/>
          </w:tcPr>
          <w:p>
            <w:pPr>
              <w:bidi w:val="0"/>
              <w:jc w:val="both"/>
              <w:rPr>
                <w:rFonts w:hint="eastAsia" w:hAnsi="宋体" w:eastAsia="宋体" w:cs="宋体"/>
                <w:kern w:val="0"/>
                <w:sz w:val="21"/>
                <w:szCs w:val="21"/>
                <w:lang w:eastAsia="zh-CN"/>
              </w:rPr>
            </w:pPr>
            <w:r>
              <w:rPr>
                <w:rFonts w:hint="eastAsia"/>
                <w:color w:val="auto"/>
                <w:sz w:val="21"/>
                <w:szCs w:val="21"/>
                <w:highlight w:val="none"/>
              </w:rPr>
              <w:t>投标保证金</w:t>
            </w:r>
            <w:r>
              <w:rPr>
                <w:rFonts w:hint="eastAsia"/>
                <w:color w:val="auto"/>
                <w:sz w:val="21"/>
                <w:szCs w:val="21"/>
                <w:highlight w:val="none"/>
                <w:lang w:eastAsia="zh-CN"/>
              </w:rPr>
              <w:t>：本项目无需缴纳保证金。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1369" w:hRule="atLeast"/>
        </w:trPr>
        <w:tc>
          <w:tcPr>
            <w:tcW w:w="10078" w:type="dxa"/>
            <w:gridSpan w:val="4"/>
            <w:vAlign w:val="top"/>
          </w:tcPr>
          <w:p>
            <w:pPr>
              <w:pStyle w:val="25"/>
              <w:spacing w:before="6"/>
              <w:rPr>
                <w:rFonts w:hint="eastAsia"/>
                <w:sz w:val="21"/>
                <w:szCs w:val="21"/>
                <w:lang w:val="en-US" w:eastAsia="zh-CN"/>
              </w:rPr>
            </w:pPr>
            <w:r>
              <w:rPr>
                <w:rFonts w:hint="eastAsia"/>
                <w:sz w:val="21"/>
                <w:szCs w:val="21"/>
                <w:lang w:eastAsia="zh-CN"/>
              </w:rPr>
              <w:t>交易</w:t>
            </w:r>
            <w:r>
              <w:rPr>
                <w:rFonts w:hint="eastAsia"/>
                <w:sz w:val="21"/>
                <w:szCs w:val="21"/>
              </w:rPr>
              <w:t>文件</w:t>
            </w:r>
            <w:r>
              <w:rPr>
                <w:rFonts w:hint="eastAsia"/>
                <w:sz w:val="21"/>
                <w:szCs w:val="21"/>
                <w:lang w:val="en-US" w:eastAsia="zh-CN"/>
              </w:rPr>
              <w:t>获取方式：</w:t>
            </w:r>
          </w:p>
          <w:p>
            <w:pPr>
              <w:pStyle w:val="25"/>
              <w:spacing w:before="6"/>
              <w:rPr>
                <w:rFonts w:hint="default"/>
                <w:sz w:val="21"/>
                <w:szCs w:val="21"/>
                <w:lang w:val="en-US" w:eastAsia="zh-CN"/>
              </w:rPr>
            </w:pPr>
          </w:p>
          <w:p>
            <w:pPr>
              <w:pStyle w:val="25"/>
              <w:numPr>
                <w:ilvl w:val="0"/>
                <w:numId w:val="0"/>
              </w:numPr>
              <w:spacing w:line="448" w:lineRule="auto"/>
              <w:ind w:right="-56" w:rightChars="0"/>
              <w:rPr>
                <w:rFonts w:hint="eastAsia"/>
                <w:sz w:val="21"/>
                <w:szCs w:val="21"/>
              </w:rPr>
            </w:pPr>
            <w:r>
              <w:rPr>
                <w:rFonts w:hint="eastAsia"/>
                <w:sz w:val="21"/>
                <w:szCs w:val="21"/>
                <w:lang w:eastAsia="zh-CN"/>
              </w:rPr>
              <w:t>交易</w:t>
            </w:r>
            <w:r>
              <w:rPr>
                <w:rFonts w:hint="eastAsia"/>
                <w:sz w:val="21"/>
                <w:szCs w:val="21"/>
              </w:rPr>
              <w:t>文件下载时间：</w:t>
            </w:r>
            <w:r>
              <w:rPr>
                <w:rFonts w:hint="eastAsia"/>
                <w:sz w:val="21"/>
                <w:szCs w:val="21"/>
                <w:lang w:eastAsia="zh-CN"/>
              </w:rPr>
              <w:t>2020</w:t>
            </w:r>
            <w:r>
              <w:rPr>
                <w:rFonts w:hint="eastAsia"/>
                <w:sz w:val="21"/>
                <w:szCs w:val="21"/>
              </w:rPr>
              <w:t>年</w:t>
            </w:r>
            <w:r>
              <w:rPr>
                <w:rFonts w:hint="eastAsia"/>
                <w:color w:val="auto"/>
                <w:sz w:val="21"/>
                <w:szCs w:val="21"/>
                <w:highlight w:val="none"/>
                <w:lang w:val="en-US" w:eastAsia="zh-CN"/>
              </w:rPr>
              <w:t>04</w:t>
            </w:r>
            <w:r>
              <w:rPr>
                <w:rFonts w:hint="eastAsia"/>
                <w:color w:val="auto"/>
                <w:sz w:val="21"/>
                <w:szCs w:val="21"/>
                <w:highlight w:val="none"/>
              </w:rPr>
              <w:t>月</w:t>
            </w:r>
            <w:r>
              <w:rPr>
                <w:rFonts w:hint="eastAsia"/>
                <w:color w:val="auto"/>
                <w:sz w:val="21"/>
                <w:szCs w:val="21"/>
                <w:highlight w:val="none"/>
                <w:lang w:val="en-US" w:eastAsia="zh-CN"/>
              </w:rPr>
              <w:t>28</w:t>
            </w:r>
            <w:r>
              <w:rPr>
                <w:rFonts w:hint="eastAsia"/>
                <w:color w:val="auto"/>
                <w:sz w:val="21"/>
                <w:szCs w:val="21"/>
                <w:highlight w:val="none"/>
              </w:rPr>
              <w:t>日</w:t>
            </w:r>
            <w:r>
              <w:rPr>
                <w:rFonts w:hint="eastAsia"/>
                <w:color w:val="auto"/>
                <w:sz w:val="21"/>
                <w:szCs w:val="21"/>
                <w:highlight w:val="none"/>
                <w:lang w:val="en-US" w:eastAsia="zh-CN"/>
              </w:rPr>
              <w:t>17</w:t>
            </w:r>
            <w:r>
              <w:rPr>
                <w:rFonts w:hint="eastAsia"/>
                <w:color w:val="auto"/>
                <w:sz w:val="21"/>
                <w:szCs w:val="21"/>
                <w:highlight w:val="none"/>
              </w:rPr>
              <w:t>时</w:t>
            </w:r>
            <w:r>
              <w:rPr>
                <w:rFonts w:hint="eastAsia"/>
                <w:sz w:val="21"/>
                <w:szCs w:val="21"/>
              </w:rPr>
              <w:t>后，如投标人不及时下载</w:t>
            </w:r>
            <w:r>
              <w:rPr>
                <w:rFonts w:hint="eastAsia"/>
                <w:sz w:val="21"/>
                <w:szCs w:val="21"/>
                <w:lang w:eastAsia="zh-CN"/>
              </w:rPr>
              <w:t>交易文件</w:t>
            </w:r>
            <w:r>
              <w:rPr>
                <w:rFonts w:hint="eastAsia"/>
                <w:sz w:val="21"/>
                <w:szCs w:val="21"/>
              </w:rPr>
              <w:t>，造成后果由投标人自负。</w:t>
            </w:r>
          </w:p>
          <w:p>
            <w:pPr>
              <w:pStyle w:val="25"/>
              <w:numPr>
                <w:ilvl w:val="0"/>
                <w:numId w:val="0"/>
              </w:numPr>
              <w:spacing w:line="448" w:lineRule="auto"/>
              <w:ind w:right="-56" w:rightChars="0"/>
              <w:rPr>
                <w:sz w:val="21"/>
                <w:szCs w:val="21"/>
              </w:rPr>
            </w:pPr>
            <w:r>
              <w:rPr>
                <w:rFonts w:hint="eastAsia"/>
                <w:sz w:val="21"/>
                <w:szCs w:val="21"/>
              </w:rPr>
              <w:t>下载地址：滁州市琅琊山风景名胜区管理委员会网站（http://lgw.chuzhou.gov.cn/index.html）</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1459" w:hRule="atLeast"/>
        </w:trPr>
        <w:tc>
          <w:tcPr>
            <w:tcW w:w="10078" w:type="dxa"/>
            <w:gridSpan w:val="4"/>
          </w:tcPr>
          <w:p>
            <w:pPr>
              <w:pStyle w:val="25"/>
              <w:keepNext w:val="0"/>
              <w:keepLines w:val="0"/>
              <w:pageBreakBefore w:val="0"/>
              <w:widowControl w:val="0"/>
              <w:kinsoku/>
              <w:wordWrap/>
              <w:overflowPunct/>
              <w:topLinePunct w:val="0"/>
              <w:autoSpaceDE w:val="0"/>
              <w:autoSpaceDN w:val="0"/>
              <w:bidi w:val="0"/>
              <w:adjustRightInd/>
              <w:snapToGrid/>
              <w:spacing w:before="0" w:line="360" w:lineRule="auto"/>
              <w:ind w:left="108"/>
              <w:jc w:val="both"/>
              <w:textAlignment w:val="auto"/>
              <w:rPr>
                <w:sz w:val="21"/>
                <w:szCs w:val="21"/>
              </w:rPr>
            </w:pPr>
            <w:r>
              <w:rPr>
                <w:rFonts w:hint="eastAsia"/>
                <w:sz w:val="21"/>
                <w:szCs w:val="21"/>
              </w:rPr>
              <w:t>招标文件答疑及澄清:如投标人对招标文件有疑问，请于</w:t>
            </w:r>
            <w:r>
              <w:rPr>
                <w:rFonts w:hint="eastAsia"/>
                <w:sz w:val="21"/>
                <w:szCs w:val="21"/>
                <w:lang w:eastAsia="zh-CN"/>
              </w:rPr>
              <w:t>2020</w:t>
            </w:r>
            <w:r>
              <w:rPr>
                <w:rFonts w:hint="eastAsia"/>
                <w:sz w:val="21"/>
                <w:szCs w:val="21"/>
              </w:rPr>
              <w:t>年</w:t>
            </w:r>
            <w:r>
              <w:rPr>
                <w:rFonts w:hint="eastAsia"/>
                <w:sz w:val="21"/>
                <w:szCs w:val="21"/>
                <w:highlight w:val="none"/>
                <w:u w:val="none"/>
                <w:lang w:val="en-US" w:eastAsia="zh-CN"/>
              </w:rPr>
              <w:t>05</w:t>
            </w:r>
            <w:r>
              <w:rPr>
                <w:rFonts w:hint="eastAsia"/>
                <w:sz w:val="21"/>
                <w:szCs w:val="21"/>
                <w:highlight w:val="none"/>
                <w:u w:val="none"/>
              </w:rPr>
              <w:t>月</w:t>
            </w:r>
            <w:r>
              <w:rPr>
                <w:rFonts w:hint="eastAsia"/>
                <w:sz w:val="21"/>
                <w:szCs w:val="21"/>
                <w:highlight w:val="none"/>
                <w:u w:val="none"/>
                <w:lang w:val="en-US" w:eastAsia="zh-CN"/>
              </w:rPr>
              <w:t>05</w:t>
            </w:r>
            <w:r>
              <w:rPr>
                <w:rFonts w:hint="eastAsia"/>
                <w:sz w:val="21"/>
                <w:szCs w:val="21"/>
                <w:highlight w:val="none"/>
                <w:u w:val="none"/>
              </w:rPr>
              <w:t>日</w:t>
            </w:r>
            <w:r>
              <w:rPr>
                <w:rFonts w:hint="eastAsia"/>
                <w:sz w:val="21"/>
                <w:szCs w:val="21"/>
                <w:highlight w:val="none"/>
                <w:u w:val="none"/>
                <w:lang w:val="en-US" w:eastAsia="zh-CN"/>
              </w:rPr>
              <w:t>17</w:t>
            </w:r>
            <w:r>
              <w:rPr>
                <w:rFonts w:hint="eastAsia"/>
                <w:sz w:val="21"/>
                <w:szCs w:val="21"/>
              </w:rPr>
              <w:t>时前</w:t>
            </w:r>
            <w:r>
              <w:rPr>
                <w:rFonts w:hint="eastAsia"/>
                <w:sz w:val="21"/>
                <w:szCs w:val="21"/>
              </w:rPr>
              <w:fldChar w:fldCharType="begin"/>
            </w:r>
            <w:r>
              <w:rPr>
                <w:rFonts w:hint="eastAsia"/>
                <w:sz w:val="21"/>
                <w:szCs w:val="21"/>
              </w:rPr>
              <w:instrText xml:space="preserve"> HYPERLINK "mailto:日17时前将疑问内容以电子邮件形式发送至czsdzb@126.com" </w:instrText>
            </w:r>
            <w:r>
              <w:rPr>
                <w:rFonts w:hint="eastAsia"/>
                <w:sz w:val="21"/>
                <w:szCs w:val="21"/>
              </w:rPr>
              <w:fldChar w:fldCharType="separate"/>
            </w:r>
            <w:r>
              <w:rPr>
                <w:rFonts w:hint="eastAsia"/>
                <w:sz w:val="21"/>
                <w:szCs w:val="21"/>
              </w:rPr>
              <w:t>将疑问内容以电子邮件形式发送至</w:t>
            </w:r>
            <w:r>
              <w:rPr>
                <w:rFonts w:hint="eastAsia"/>
                <w:sz w:val="21"/>
                <w:szCs w:val="21"/>
                <w:lang w:val="en-US" w:eastAsia="zh-CN"/>
              </w:rPr>
              <w:t xml:space="preserve"> </w:t>
            </w:r>
            <w:r>
              <w:rPr>
                <w:rFonts w:hint="eastAsia"/>
                <w:sz w:val="21"/>
                <w:szCs w:val="21"/>
              </w:rPr>
              <w:fldChar w:fldCharType="end"/>
            </w:r>
            <w:r>
              <w:rPr>
                <w:rFonts w:hint="eastAsia"/>
                <w:color w:val="auto"/>
                <w:sz w:val="21"/>
                <w:szCs w:val="21"/>
                <w:highlight w:val="none"/>
                <w:u w:val="single"/>
                <w:shd w:val="clear"/>
                <w:lang w:val="en-US" w:eastAsia="zh-CN"/>
              </w:rPr>
              <w:t>879297145</w:t>
            </w:r>
            <w:r>
              <w:rPr>
                <w:rFonts w:hint="eastAsia"/>
                <w:color w:val="auto"/>
                <w:sz w:val="21"/>
                <w:szCs w:val="21"/>
                <w:highlight w:val="none"/>
                <w:shd w:val="clear"/>
              </w:rPr>
              <w:t>@</w:t>
            </w:r>
            <w:r>
              <w:rPr>
                <w:rFonts w:hint="eastAsia"/>
                <w:color w:val="auto"/>
                <w:sz w:val="21"/>
                <w:szCs w:val="21"/>
                <w:highlight w:val="none"/>
                <w:shd w:val="clear"/>
                <w:lang w:val="en-US" w:eastAsia="zh-CN"/>
              </w:rPr>
              <w:t>qq</w:t>
            </w:r>
            <w:r>
              <w:rPr>
                <w:rFonts w:hint="eastAsia"/>
                <w:color w:val="auto"/>
                <w:sz w:val="21"/>
                <w:szCs w:val="21"/>
                <w:highlight w:val="none"/>
                <w:shd w:val="clear"/>
              </w:rPr>
              <w:t>.com</w:t>
            </w:r>
            <w:r>
              <w:rPr>
                <w:rFonts w:hint="eastAsia"/>
                <w:sz w:val="21"/>
                <w:szCs w:val="21"/>
              </w:rPr>
              <w:t>，招标人将在</w:t>
            </w:r>
            <w:r>
              <w:rPr>
                <w:rFonts w:hint="eastAsia"/>
                <w:sz w:val="21"/>
                <w:szCs w:val="21"/>
                <w:lang w:eastAsia="zh-CN"/>
              </w:rPr>
              <w:t>2020</w:t>
            </w:r>
            <w:r>
              <w:rPr>
                <w:rFonts w:hint="eastAsia"/>
                <w:sz w:val="21"/>
                <w:szCs w:val="21"/>
              </w:rPr>
              <w:t>年</w:t>
            </w:r>
            <w:r>
              <w:rPr>
                <w:rFonts w:hint="eastAsia"/>
                <w:color w:val="auto"/>
                <w:sz w:val="21"/>
                <w:szCs w:val="21"/>
                <w:highlight w:val="none"/>
                <w:u w:val="none"/>
                <w:lang w:val="en-US" w:eastAsia="zh-CN"/>
              </w:rPr>
              <w:t>05</w:t>
            </w:r>
            <w:r>
              <w:rPr>
                <w:rFonts w:hint="eastAsia"/>
                <w:color w:val="auto"/>
                <w:sz w:val="21"/>
                <w:szCs w:val="21"/>
                <w:highlight w:val="none"/>
                <w:u w:val="none"/>
              </w:rPr>
              <w:t>月</w:t>
            </w:r>
            <w:r>
              <w:rPr>
                <w:rFonts w:hint="eastAsia"/>
                <w:color w:val="auto"/>
                <w:sz w:val="21"/>
                <w:szCs w:val="21"/>
                <w:highlight w:val="none"/>
                <w:u w:val="none"/>
                <w:lang w:val="en-US" w:eastAsia="zh-CN"/>
              </w:rPr>
              <w:t>05</w:t>
            </w:r>
            <w:r>
              <w:rPr>
                <w:rFonts w:hint="eastAsia"/>
                <w:color w:val="auto"/>
                <w:sz w:val="21"/>
                <w:szCs w:val="21"/>
                <w:highlight w:val="none"/>
                <w:u w:val="none"/>
              </w:rPr>
              <w:t>日</w:t>
            </w:r>
            <w:r>
              <w:rPr>
                <w:rFonts w:hint="eastAsia"/>
                <w:sz w:val="21"/>
                <w:szCs w:val="21"/>
                <w:lang w:val="en-US" w:eastAsia="zh-CN"/>
              </w:rPr>
              <w:t>10</w:t>
            </w:r>
            <w:r>
              <w:rPr>
                <w:rFonts w:hint="eastAsia"/>
                <w:sz w:val="21"/>
                <w:szCs w:val="21"/>
              </w:rPr>
              <w:t>时</w:t>
            </w:r>
            <w:r>
              <w:rPr>
                <w:rFonts w:hint="eastAsia"/>
                <w:sz w:val="21"/>
                <w:szCs w:val="21"/>
                <w:lang w:val="en-US" w:eastAsia="zh-CN"/>
              </w:rPr>
              <w:t>后</w:t>
            </w:r>
            <w:r>
              <w:rPr>
                <w:rFonts w:hint="eastAsia"/>
                <w:sz w:val="21"/>
                <w:szCs w:val="21"/>
              </w:rPr>
              <w:t>以澄清公告形式在滁州市琅琊山风景名胜区管理委员会网站（http://lgw.chuzhou.gov.cn/index.html）予以公告，请各位投标人注意查看有关澄清内容，如不及时查看造成后果由投标人自负。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1400" w:hRule="atLeast"/>
        </w:trPr>
        <w:tc>
          <w:tcPr>
            <w:tcW w:w="4506" w:type="dxa"/>
            <w:gridSpan w:val="2"/>
          </w:tcPr>
          <w:p>
            <w:pPr>
              <w:pStyle w:val="25"/>
              <w:keepNext w:val="0"/>
              <w:keepLines w:val="0"/>
              <w:pageBreakBefore w:val="0"/>
              <w:widowControl w:val="0"/>
              <w:kinsoku/>
              <w:wordWrap/>
              <w:overflowPunct/>
              <w:topLinePunct w:val="0"/>
              <w:autoSpaceDE w:val="0"/>
              <w:autoSpaceDN w:val="0"/>
              <w:bidi w:val="0"/>
              <w:adjustRightInd/>
              <w:snapToGrid/>
              <w:spacing w:before="78" w:line="440" w:lineRule="exact"/>
              <w:ind w:left="108"/>
              <w:textAlignment w:val="auto"/>
              <w:rPr>
                <w:rFonts w:hint="eastAsia" w:ascii="宋体" w:hAnsi="宋体" w:eastAsia="宋体" w:cs="宋体"/>
                <w:color w:val="0D0D0D"/>
                <w:sz w:val="21"/>
                <w:szCs w:val="21"/>
              </w:rPr>
            </w:pPr>
            <w:r>
              <w:rPr>
                <w:rFonts w:hint="eastAsia" w:ascii="宋体" w:hAnsi="宋体" w:eastAsia="宋体" w:cs="宋体"/>
                <w:color w:val="0D0D0D"/>
                <w:sz w:val="21"/>
                <w:szCs w:val="21"/>
              </w:rPr>
              <w:t>招标人：</w:t>
            </w:r>
            <w:r>
              <w:rPr>
                <w:rFonts w:hint="eastAsia" w:ascii="宋体" w:hAnsi="宋体" w:eastAsia="宋体" w:cs="宋体"/>
                <w:color w:val="0D0D0D"/>
                <w:sz w:val="21"/>
                <w:szCs w:val="21"/>
                <w:lang w:val="en-US" w:eastAsia="zh-CN"/>
              </w:rPr>
              <w:t>安徽省琅琊山旅游发展有限公司</w:t>
            </w:r>
          </w:p>
          <w:p>
            <w:pPr>
              <w:pStyle w:val="25"/>
              <w:keepNext w:val="0"/>
              <w:keepLines w:val="0"/>
              <w:pageBreakBefore w:val="0"/>
              <w:widowControl w:val="0"/>
              <w:kinsoku/>
              <w:wordWrap/>
              <w:overflowPunct/>
              <w:topLinePunct w:val="0"/>
              <w:autoSpaceDE w:val="0"/>
              <w:autoSpaceDN w:val="0"/>
              <w:bidi w:val="0"/>
              <w:adjustRightInd/>
              <w:snapToGrid/>
              <w:spacing w:before="78" w:line="440" w:lineRule="exact"/>
              <w:ind w:left="108"/>
              <w:textAlignment w:val="auto"/>
              <w:rPr>
                <w:rFonts w:hint="eastAsia" w:ascii="宋体" w:hAnsi="宋体" w:eastAsia="宋体" w:cs="宋体"/>
                <w:color w:val="0D0D0D"/>
                <w:sz w:val="21"/>
                <w:szCs w:val="21"/>
              </w:rPr>
            </w:pPr>
            <w:r>
              <w:rPr>
                <w:rFonts w:hint="eastAsia" w:ascii="宋体" w:hAnsi="宋体" w:eastAsia="宋体" w:cs="宋体"/>
                <w:color w:val="0D0D0D"/>
                <w:sz w:val="21"/>
                <w:szCs w:val="21"/>
              </w:rPr>
              <w:t>公司 地 址：</w:t>
            </w:r>
            <w:r>
              <w:rPr>
                <w:rFonts w:hint="eastAsia" w:ascii="宋体" w:hAnsi="宋体" w:eastAsia="宋体" w:cs="宋体"/>
                <w:color w:val="0D0D0D"/>
                <w:sz w:val="21"/>
                <w:szCs w:val="21"/>
                <w:lang w:val="en-US" w:eastAsia="zh-CN"/>
              </w:rPr>
              <w:t>滁州市琅琊古道30号</w:t>
            </w:r>
          </w:p>
          <w:p>
            <w:pPr>
              <w:pStyle w:val="25"/>
              <w:keepNext w:val="0"/>
              <w:keepLines w:val="0"/>
              <w:pageBreakBefore w:val="0"/>
              <w:widowControl w:val="0"/>
              <w:kinsoku/>
              <w:wordWrap/>
              <w:overflowPunct/>
              <w:topLinePunct w:val="0"/>
              <w:autoSpaceDE w:val="0"/>
              <w:autoSpaceDN w:val="0"/>
              <w:bidi w:val="0"/>
              <w:adjustRightInd/>
              <w:snapToGrid/>
              <w:spacing w:before="78" w:line="440" w:lineRule="exact"/>
              <w:ind w:left="108"/>
              <w:textAlignment w:val="auto"/>
              <w:rPr>
                <w:rFonts w:hint="default" w:ascii="宋体" w:hAnsi="宋体" w:eastAsia="宋体" w:cs="宋体"/>
                <w:sz w:val="21"/>
                <w:szCs w:val="21"/>
                <w:lang w:val="en-US" w:eastAsia="zh-CN"/>
              </w:rPr>
            </w:pPr>
            <w:r>
              <w:rPr>
                <w:rFonts w:hint="eastAsia" w:ascii="宋体" w:hAnsi="宋体" w:eastAsia="宋体" w:cs="宋体"/>
                <w:color w:val="0D0D0D"/>
                <w:sz w:val="21"/>
                <w:szCs w:val="21"/>
              </w:rPr>
              <w:t>联系人：</w:t>
            </w:r>
            <w:r>
              <w:rPr>
                <w:rFonts w:hint="eastAsia" w:cs="宋体"/>
                <w:color w:val="0D0D0D"/>
                <w:sz w:val="21"/>
                <w:szCs w:val="21"/>
                <w:lang w:val="en-US" w:eastAsia="zh-CN"/>
              </w:rPr>
              <w:t>周海龙</w:t>
            </w:r>
            <w:r>
              <w:rPr>
                <w:rFonts w:hint="eastAsia" w:ascii="宋体" w:hAnsi="宋体" w:eastAsia="宋体" w:cs="宋体"/>
                <w:color w:val="0D0D0D"/>
                <w:sz w:val="21"/>
                <w:szCs w:val="21"/>
                <w:lang w:val="en-US" w:eastAsia="zh-CN"/>
              </w:rPr>
              <w:t xml:space="preserve"> </w:t>
            </w:r>
            <w:r>
              <w:rPr>
                <w:rFonts w:hint="eastAsia" w:cs="宋体"/>
                <w:color w:val="0D0D0D"/>
                <w:sz w:val="21"/>
                <w:szCs w:val="21"/>
                <w:lang w:val="en-US" w:eastAsia="zh-CN"/>
              </w:rPr>
              <w:t xml:space="preserve"> </w:t>
            </w:r>
            <w:r>
              <w:rPr>
                <w:rFonts w:hint="eastAsia" w:ascii="宋体" w:hAnsi="宋体" w:eastAsia="宋体" w:cs="宋体"/>
                <w:color w:val="0D0D0D"/>
                <w:sz w:val="21"/>
                <w:szCs w:val="21"/>
              </w:rPr>
              <w:t xml:space="preserve"> 电话：</w:t>
            </w:r>
            <w:r>
              <w:rPr>
                <w:rFonts w:hint="eastAsia" w:cs="宋体"/>
                <w:color w:val="0D0D0D"/>
                <w:w w:val="105"/>
                <w:sz w:val="21"/>
                <w:szCs w:val="21"/>
                <w:lang w:val="en-US" w:eastAsia="zh-CN"/>
              </w:rPr>
              <w:t>15755091878</w:t>
            </w:r>
          </w:p>
        </w:tc>
        <w:tc>
          <w:tcPr>
            <w:tcW w:w="5572" w:type="dxa"/>
            <w:gridSpan w:val="2"/>
          </w:tcPr>
          <w:p>
            <w:pPr>
              <w:pStyle w:val="25"/>
              <w:keepNext w:val="0"/>
              <w:keepLines w:val="0"/>
              <w:pageBreakBefore w:val="0"/>
              <w:widowControl w:val="0"/>
              <w:kinsoku/>
              <w:wordWrap/>
              <w:overflowPunct/>
              <w:topLinePunct w:val="0"/>
              <w:autoSpaceDE w:val="0"/>
              <w:autoSpaceDN w:val="0"/>
              <w:bidi w:val="0"/>
              <w:adjustRightInd/>
              <w:snapToGrid/>
              <w:spacing w:before="78" w:line="440" w:lineRule="exact"/>
              <w:ind w:left="108"/>
              <w:textAlignment w:val="auto"/>
              <w:rPr>
                <w:rFonts w:hint="eastAsia" w:ascii="宋体" w:hAnsi="宋体" w:eastAsia="宋体" w:cs="宋体"/>
                <w:color w:val="0D0D0D"/>
                <w:sz w:val="21"/>
                <w:szCs w:val="21"/>
                <w:lang w:val="en-US" w:eastAsia="zh-CN"/>
              </w:rPr>
            </w:pPr>
            <w:r>
              <w:rPr>
                <w:rFonts w:hint="eastAsia" w:ascii="宋体" w:hAnsi="宋体" w:eastAsia="宋体" w:cs="宋体"/>
                <w:color w:val="0D0D0D"/>
                <w:sz w:val="21"/>
                <w:szCs w:val="21"/>
              </w:rPr>
              <w:t>招标代理机构：</w:t>
            </w:r>
            <w:r>
              <w:rPr>
                <w:rFonts w:hint="eastAsia" w:cs="宋体"/>
                <w:color w:val="0D0D0D"/>
                <w:sz w:val="21"/>
                <w:szCs w:val="21"/>
                <w:lang w:val="en-US" w:eastAsia="zh-CN"/>
              </w:rPr>
              <w:t>滁州青山工程咨询有限公司</w:t>
            </w:r>
          </w:p>
          <w:p>
            <w:pPr>
              <w:pStyle w:val="25"/>
              <w:keepNext w:val="0"/>
              <w:keepLines w:val="0"/>
              <w:pageBreakBefore w:val="0"/>
              <w:widowControl w:val="0"/>
              <w:kinsoku/>
              <w:wordWrap/>
              <w:overflowPunct/>
              <w:topLinePunct w:val="0"/>
              <w:autoSpaceDE w:val="0"/>
              <w:autoSpaceDN w:val="0"/>
              <w:bidi w:val="0"/>
              <w:adjustRightInd/>
              <w:snapToGrid/>
              <w:spacing w:before="78" w:line="440" w:lineRule="exact"/>
              <w:ind w:left="108"/>
              <w:textAlignment w:val="auto"/>
              <w:rPr>
                <w:rFonts w:hint="default" w:ascii="宋体" w:hAnsi="宋体" w:eastAsia="宋体" w:cs="宋体"/>
                <w:color w:val="0D0D0D"/>
                <w:sz w:val="21"/>
                <w:szCs w:val="21"/>
                <w:lang w:val="en-US" w:eastAsia="zh-CN"/>
              </w:rPr>
            </w:pPr>
            <w:r>
              <w:rPr>
                <w:rFonts w:hint="eastAsia" w:ascii="宋体" w:hAnsi="宋体" w:eastAsia="宋体" w:cs="宋体"/>
                <w:color w:val="0D0D0D"/>
                <w:sz w:val="21"/>
                <w:szCs w:val="21"/>
              </w:rPr>
              <w:t>地 址：</w:t>
            </w:r>
            <w:r>
              <w:rPr>
                <w:rFonts w:hint="eastAsia" w:ascii="宋体" w:hAnsi="宋体" w:eastAsia="宋体" w:cs="宋体"/>
                <w:color w:val="0D0D0D"/>
                <w:sz w:val="21"/>
                <w:szCs w:val="21"/>
                <w:lang w:val="en-US" w:eastAsia="zh-CN"/>
              </w:rPr>
              <w:t>滁州市凯迪置地广场B座609室</w:t>
            </w:r>
          </w:p>
          <w:p>
            <w:pPr>
              <w:pStyle w:val="25"/>
              <w:keepNext w:val="0"/>
              <w:keepLines w:val="0"/>
              <w:pageBreakBefore w:val="0"/>
              <w:widowControl w:val="0"/>
              <w:kinsoku/>
              <w:wordWrap/>
              <w:overflowPunct/>
              <w:topLinePunct w:val="0"/>
              <w:autoSpaceDE w:val="0"/>
              <w:autoSpaceDN w:val="0"/>
              <w:bidi w:val="0"/>
              <w:adjustRightInd/>
              <w:snapToGrid/>
              <w:spacing w:before="78" w:line="440" w:lineRule="exact"/>
              <w:ind w:left="108"/>
              <w:textAlignment w:val="auto"/>
              <w:rPr>
                <w:rFonts w:hint="default" w:ascii="宋体" w:hAnsi="宋体" w:eastAsia="宋体" w:cs="宋体"/>
                <w:sz w:val="21"/>
                <w:szCs w:val="21"/>
                <w:lang w:val="en-US"/>
              </w:rPr>
            </w:pPr>
            <w:r>
              <w:rPr>
                <w:rFonts w:hint="eastAsia" w:ascii="宋体" w:hAnsi="宋体" w:eastAsia="宋体" w:cs="宋体"/>
                <w:color w:val="0D0D0D"/>
                <w:sz w:val="21"/>
                <w:szCs w:val="21"/>
              </w:rPr>
              <w:t>联系人：</w:t>
            </w:r>
            <w:r>
              <w:rPr>
                <w:rFonts w:hint="eastAsia" w:cs="宋体"/>
                <w:color w:val="0D0D0D"/>
                <w:sz w:val="21"/>
                <w:szCs w:val="21"/>
                <w:lang w:val="en-US" w:eastAsia="zh-CN"/>
              </w:rPr>
              <w:t xml:space="preserve">鲁丹丹   </w:t>
            </w:r>
            <w:r>
              <w:rPr>
                <w:rFonts w:hint="eastAsia" w:ascii="宋体" w:hAnsi="宋体" w:eastAsia="宋体" w:cs="宋体"/>
                <w:color w:val="0D0D0D"/>
                <w:sz w:val="21"/>
                <w:szCs w:val="21"/>
              </w:rPr>
              <w:t>电话 ：</w:t>
            </w:r>
            <w:r>
              <w:rPr>
                <w:rFonts w:hint="eastAsia" w:cs="宋体"/>
                <w:color w:val="0D0D0D"/>
                <w:sz w:val="21"/>
                <w:szCs w:val="21"/>
                <w:lang w:val="en-US" w:eastAsia="zh-CN"/>
              </w:rPr>
              <w:t>15105509861</w:t>
            </w:r>
          </w:p>
        </w:tc>
      </w:tr>
    </w:tbl>
    <w:p>
      <w:pPr>
        <w:spacing w:after="0"/>
        <w:rPr>
          <w:sz w:val="19"/>
        </w:rPr>
        <w:sectPr>
          <w:pgSz w:w="11910" w:h="16850"/>
          <w:pgMar w:top="1180" w:right="740" w:bottom="820" w:left="860" w:header="0" w:footer="636" w:gutter="0"/>
          <w:cols w:space="720" w:num="1"/>
        </w:sectPr>
      </w:pPr>
    </w:p>
    <w:p>
      <w:pPr>
        <w:pStyle w:val="3"/>
        <w:bidi w:val="0"/>
        <w:rPr>
          <w:b/>
          <w:sz w:val="16"/>
        </w:rPr>
      </w:pPr>
      <w:bookmarkStart w:id="3" w:name="A、投标人须知前附表"/>
      <w:bookmarkEnd w:id="3"/>
      <w:bookmarkStart w:id="4" w:name="_Toc32322"/>
      <w:r>
        <w:rPr>
          <w:rFonts w:hint="eastAsia"/>
          <w:b/>
          <w:sz w:val="31"/>
          <w:lang w:val="en-US" w:eastAsia="zh-CN"/>
        </w:rPr>
        <w:t>第一章</w:t>
      </w:r>
      <w:r>
        <w:rPr>
          <w:b/>
          <w:sz w:val="31"/>
        </w:rPr>
        <w:t>、投标人须知前附表</w:t>
      </w:r>
      <w:bookmarkEnd w:id="4"/>
      <w:r>
        <w:rPr>
          <w:b/>
          <w:w w:val="100"/>
          <w:sz w:val="31"/>
        </w:rPr>
        <w:t xml:space="preserve"> </w:t>
      </w:r>
    </w:p>
    <w:tbl>
      <w:tblPr>
        <w:tblStyle w:val="20"/>
        <w:tblW w:w="10619" w:type="dxa"/>
        <w:tblInd w:w="1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
      <w:tblGrid>
        <w:gridCol w:w="715"/>
        <w:gridCol w:w="1763"/>
        <w:gridCol w:w="81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440" w:hRule="atLeast"/>
        </w:trPr>
        <w:tc>
          <w:tcPr>
            <w:tcW w:w="715" w:type="dxa"/>
          </w:tcPr>
          <w:p>
            <w:pPr>
              <w:pStyle w:val="25"/>
              <w:spacing w:before="69"/>
              <w:ind w:left="40" w:right="25"/>
              <w:jc w:val="center"/>
              <w:rPr>
                <w:rFonts w:hint="eastAsia" w:ascii="宋体" w:hAnsi="宋体" w:eastAsia="宋体" w:cs="宋体"/>
                <w:sz w:val="24"/>
                <w:szCs w:val="24"/>
              </w:rPr>
            </w:pPr>
            <w:r>
              <w:rPr>
                <w:rFonts w:hint="eastAsia" w:ascii="宋体" w:hAnsi="宋体" w:eastAsia="宋体" w:cs="宋体"/>
                <w:sz w:val="24"/>
                <w:szCs w:val="24"/>
              </w:rPr>
              <w:t>序号</w:t>
            </w:r>
          </w:p>
        </w:tc>
        <w:tc>
          <w:tcPr>
            <w:tcW w:w="1763" w:type="dxa"/>
          </w:tcPr>
          <w:p>
            <w:pPr>
              <w:pStyle w:val="25"/>
              <w:spacing w:before="114"/>
              <w:ind w:left="105"/>
              <w:jc w:val="center"/>
              <w:rPr>
                <w:rFonts w:hint="eastAsia" w:ascii="宋体" w:hAnsi="宋体" w:eastAsia="宋体" w:cs="宋体"/>
                <w:sz w:val="24"/>
                <w:szCs w:val="24"/>
              </w:rPr>
            </w:pPr>
            <w:r>
              <w:rPr>
                <w:rFonts w:hint="eastAsia" w:ascii="宋体" w:hAnsi="宋体" w:eastAsia="宋体" w:cs="宋体"/>
                <w:sz w:val="24"/>
                <w:szCs w:val="24"/>
              </w:rPr>
              <w:t xml:space="preserve">内容 </w:t>
            </w:r>
          </w:p>
        </w:tc>
        <w:tc>
          <w:tcPr>
            <w:tcW w:w="8141" w:type="dxa"/>
          </w:tcPr>
          <w:p>
            <w:pPr>
              <w:pStyle w:val="25"/>
              <w:spacing w:before="114"/>
              <w:ind w:right="-13" w:rightChars="0"/>
              <w:jc w:val="center"/>
              <w:rPr>
                <w:rFonts w:hint="eastAsia" w:ascii="宋体" w:hAnsi="宋体" w:eastAsia="宋体" w:cs="宋体"/>
                <w:sz w:val="24"/>
                <w:szCs w:val="24"/>
              </w:rPr>
            </w:pPr>
            <w:r>
              <w:rPr>
                <w:rFonts w:hint="eastAsia" w:ascii="宋体" w:hAnsi="宋体" w:eastAsia="宋体" w:cs="宋体"/>
                <w:sz w:val="24"/>
                <w:szCs w:val="24"/>
              </w:rPr>
              <w:t>说明与要求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880" w:hRule="atLeast"/>
        </w:trPr>
        <w:tc>
          <w:tcPr>
            <w:tcW w:w="715" w:type="dxa"/>
          </w:tcPr>
          <w:p>
            <w:pPr>
              <w:pStyle w:val="25"/>
              <w:spacing w:before="5"/>
              <w:rPr>
                <w:rFonts w:hint="eastAsia" w:ascii="宋体" w:hAnsi="宋体" w:eastAsia="宋体" w:cs="宋体"/>
                <w:b/>
                <w:sz w:val="21"/>
                <w:szCs w:val="21"/>
              </w:rPr>
            </w:pPr>
          </w:p>
          <w:p>
            <w:pPr>
              <w:pStyle w:val="25"/>
              <w:ind w:left="160" w:right="25"/>
              <w:jc w:val="center"/>
              <w:rPr>
                <w:rFonts w:hint="eastAsia" w:ascii="宋体" w:hAnsi="宋体" w:eastAsia="宋体" w:cs="宋体"/>
                <w:sz w:val="21"/>
                <w:szCs w:val="21"/>
              </w:rPr>
            </w:pPr>
            <w:r>
              <w:rPr>
                <w:rFonts w:hint="eastAsia" w:ascii="宋体" w:hAnsi="宋体" w:eastAsia="宋体" w:cs="宋体"/>
                <w:sz w:val="21"/>
                <w:szCs w:val="21"/>
              </w:rPr>
              <w:t xml:space="preserve">1 </w:t>
            </w:r>
          </w:p>
        </w:tc>
        <w:tc>
          <w:tcPr>
            <w:tcW w:w="1763" w:type="dxa"/>
          </w:tcPr>
          <w:p>
            <w:pPr>
              <w:pStyle w:val="25"/>
              <w:rPr>
                <w:rFonts w:hint="eastAsia" w:ascii="宋体" w:hAnsi="宋体" w:eastAsia="宋体" w:cs="宋体"/>
                <w:b/>
                <w:sz w:val="21"/>
                <w:szCs w:val="21"/>
              </w:rPr>
            </w:pPr>
          </w:p>
          <w:p>
            <w:pPr>
              <w:pStyle w:val="25"/>
              <w:ind w:left="105"/>
              <w:jc w:val="center"/>
              <w:rPr>
                <w:rFonts w:hint="eastAsia" w:ascii="宋体" w:hAnsi="宋体" w:eastAsia="宋体" w:cs="宋体"/>
                <w:sz w:val="21"/>
                <w:szCs w:val="21"/>
              </w:rPr>
            </w:pPr>
            <w:r>
              <w:rPr>
                <w:rFonts w:hint="eastAsia" w:ascii="宋体" w:hAnsi="宋体" w:eastAsia="宋体" w:cs="宋体"/>
                <w:sz w:val="21"/>
                <w:szCs w:val="21"/>
              </w:rPr>
              <w:t xml:space="preserve">项目概况 </w:t>
            </w:r>
          </w:p>
        </w:tc>
        <w:tc>
          <w:tcPr>
            <w:tcW w:w="8141" w:type="dxa"/>
          </w:tcPr>
          <w:p>
            <w:pPr>
              <w:pStyle w:val="25"/>
              <w:spacing w:before="11" w:line="436" w:lineRule="exact"/>
              <w:ind w:right="207" w:rightChars="0"/>
              <w:rPr>
                <w:rFonts w:hint="eastAsia" w:ascii="宋体" w:hAnsi="宋体" w:eastAsia="宋体" w:cs="宋体"/>
                <w:sz w:val="21"/>
                <w:szCs w:val="21"/>
                <w:lang w:val="en-US" w:eastAsia="zh-CN"/>
              </w:rPr>
            </w:pPr>
            <w:r>
              <w:rPr>
                <w:rFonts w:hint="eastAsia" w:ascii="宋体" w:hAnsi="宋体" w:eastAsia="宋体" w:cs="宋体"/>
                <w:sz w:val="21"/>
                <w:szCs w:val="21"/>
              </w:rPr>
              <w:t>项目名称：</w:t>
            </w:r>
            <w:r>
              <w:rPr>
                <w:rFonts w:hint="eastAsia" w:cs="宋体"/>
                <w:sz w:val="21"/>
                <w:szCs w:val="21"/>
                <w:lang w:val="en-US" w:eastAsia="zh-CN"/>
              </w:rPr>
              <w:t>红花桥路（览山路-红花桥水库）监理项目</w:t>
            </w:r>
          </w:p>
          <w:p>
            <w:pPr>
              <w:pStyle w:val="25"/>
              <w:spacing w:before="11" w:line="436" w:lineRule="exact"/>
              <w:ind w:right="207" w:rightChars="0"/>
              <w:rPr>
                <w:rFonts w:hint="eastAsia" w:ascii="宋体" w:hAnsi="宋体" w:eastAsia="宋体" w:cs="宋体"/>
                <w:sz w:val="21"/>
                <w:szCs w:val="21"/>
              </w:rPr>
            </w:pPr>
            <w:r>
              <w:rPr>
                <w:rFonts w:hint="eastAsia" w:ascii="宋体" w:hAnsi="宋体" w:eastAsia="宋体" w:cs="宋体"/>
                <w:sz w:val="21"/>
                <w:szCs w:val="21"/>
              </w:rPr>
              <w:t>项目地点：</w:t>
            </w:r>
            <w:r>
              <w:rPr>
                <w:rFonts w:hint="eastAsia" w:cs="宋体"/>
                <w:sz w:val="21"/>
                <w:szCs w:val="21"/>
                <w:lang w:val="en-US" w:eastAsia="zh-CN"/>
              </w:rPr>
              <w:t>安徽省滁州市</w:t>
            </w:r>
            <w:r>
              <w:rPr>
                <w:rFonts w:hint="eastAsia" w:ascii="宋体" w:hAnsi="宋体" w:eastAsia="宋体" w:cs="宋体"/>
                <w:sz w:val="21"/>
                <w:szCs w:val="21"/>
                <w:lang w:eastAsia="zh-CN"/>
              </w:rPr>
              <w:t>琅琊山旅游区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760" w:hRule="atLeast"/>
        </w:trPr>
        <w:tc>
          <w:tcPr>
            <w:tcW w:w="715" w:type="dxa"/>
          </w:tcPr>
          <w:p>
            <w:pPr>
              <w:pStyle w:val="25"/>
              <w:spacing w:before="10"/>
              <w:rPr>
                <w:rFonts w:hint="eastAsia" w:ascii="宋体" w:hAnsi="宋体" w:eastAsia="宋体" w:cs="宋体"/>
                <w:b/>
                <w:sz w:val="21"/>
                <w:szCs w:val="21"/>
              </w:rPr>
            </w:pPr>
          </w:p>
          <w:p>
            <w:pPr>
              <w:pStyle w:val="25"/>
              <w:ind w:left="160" w:right="25"/>
              <w:jc w:val="center"/>
              <w:rPr>
                <w:rFonts w:hint="eastAsia" w:ascii="宋体" w:hAnsi="宋体" w:eastAsia="宋体" w:cs="宋体"/>
                <w:sz w:val="21"/>
                <w:szCs w:val="21"/>
              </w:rPr>
            </w:pPr>
            <w:r>
              <w:rPr>
                <w:rFonts w:hint="eastAsia" w:ascii="宋体" w:hAnsi="宋体" w:eastAsia="宋体" w:cs="宋体"/>
                <w:sz w:val="21"/>
                <w:szCs w:val="21"/>
              </w:rPr>
              <w:t xml:space="preserve">2 </w:t>
            </w:r>
          </w:p>
        </w:tc>
        <w:tc>
          <w:tcPr>
            <w:tcW w:w="1763" w:type="dxa"/>
          </w:tcPr>
          <w:p>
            <w:pPr>
              <w:pStyle w:val="25"/>
              <w:spacing w:before="5"/>
              <w:rPr>
                <w:rFonts w:hint="eastAsia" w:ascii="宋体" w:hAnsi="宋体" w:eastAsia="宋体" w:cs="宋体"/>
                <w:b/>
                <w:sz w:val="21"/>
                <w:szCs w:val="21"/>
              </w:rPr>
            </w:pPr>
          </w:p>
          <w:p>
            <w:pPr>
              <w:pStyle w:val="25"/>
              <w:ind w:left="105"/>
              <w:jc w:val="center"/>
              <w:rPr>
                <w:rFonts w:hint="eastAsia" w:ascii="宋体" w:hAnsi="宋体" w:eastAsia="宋体" w:cs="宋体"/>
                <w:sz w:val="21"/>
                <w:szCs w:val="21"/>
              </w:rPr>
            </w:pPr>
            <w:r>
              <w:rPr>
                <w:rFonts w:hint="eastAsia" w:ascii="宋体" w:hAnsi="宋体" w:eastAsia="宋体" w:cs="宋体"/>
                <w:sz w:val="21"/>
                <w:szCs w:val="21"/>
              </w:rPr>
              <w:t xml:space="preserve">招标项目内容 </w:t>
            </w:r>
          </w:p>
        </w:tc>
        <w:tc>
          <w:tcPr>
            <w:tcW w:w="8141" w:type="dxa"/>
          </w:tcPr>
          <w:p>
            <w:pPr>
              <w:pStyle w:val="25"/>
              <w:spacing w:before="14" w:line="376" w:lineRule="exact"/>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工程施工准备阶段、施工阶段、竣工结算阶段、保修阶段（缺陷责任期）的监理服务。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420" w:hRule="atLeast"/>
        </w:trPr>
        <w:tc>
          <w:tcPr>
            <w:tcW w:w="715" w:type="dxa"/>
          </w:tcPr>
          <w:p>
            <w:pPr>
              <w:pStyle w:val="25"/>
              <w:spacing w:before="69"/>
              <w:ind w:left="160" w:right="25"/>
              <w:jc w:val="center"/>
              <w:rPr>
                <w:rFonts w:hint="eastAsia" w:ascii="宋体" w:hAnsi="宋体" w:eastAsia="宋体" w:cs="宋体"/>
                <w:sz w:val="21"/>
                <w:szCs w:val="21"/>
              </w:rPr>
            </w:pPr>
            <w:r>
              <w:rPr>
                <w:rFonts w:hint="eastAsia" w:ascii="宋体" w:hAnsi="宋体" w:eastAsia="宋体" w:cs="宋体"/>
                <w:sz w:val="21"/>
                <w:szCs w:val="21"/>
              </w:rPr>
              <w:t xml:space="preserve">3 </w:t>
            </w:r>
          </w:p>
        </w:tc>
        <w:tc>
          <w:tcPr>
            <w:tcW w:w="1763" w:type="dxa"/>
          </w:tcPr>
          <w:p>
            <w:pPr>
              <w:pStyle w:val="25"/>
              <w:spacing w:before="114"/>
              <w:ind w:left="105"/>
              <w:jc w:val="center"/>
              <w:rPr>
                <w:rFonts w:hint="eastAsia" w:ascii="宋体" w:hAnsi="宋体" w:eastAsia="宋体" w:cs="宋体"/>
                <w:sz w:val="21"/>
                <w:szCs w:val="21"/>
              </w:rPr>
            </w:pPr>
            <w:r>
              <w:rPr>
                <w:rFonts w:hint="eastAsia" w:ascii="宋体" w:hAnsi="宋体" w:eastAsia="宋体" w:cs="宋体"/>
                <w:sz w:val="21"/>
                <w:szCs w:val="21"/>
              </w:rPr>
              <w:t xml:space="preserve">监理服务期 </w:t>
            </w:r>
          </w:p>
        </w:tc>
        <w:tc>
          <w:tcPr>
            <w:tcW w:w="8141" w:type="dxa"/>
          </w:tcPr>
          <w:p>
            <w:pPr>
              <w:pStyle w:val="25"/>
              <w:spacing w:before="114"/>
              <w:rPr>
                <w:rFonts w:hint="eastAsia" w:ascii="宋体" w:hAnsi="宋体" w:eastAsia="宋体" w:cs="宋体"/>
                <w:sz w:val="21"/>
                <w:szCs w:val="21"/>
              </w:rPr>
            </w:pPr>
            <w:r>
              <w:rPr>
                <w:rFonts w:hint="eastAsia" w:ascii="宋体" w:hAnsi="宋体" w:eastAsia="宋体" w:cs="宋体"/>
                <w:sz w:val="21"/>
                <w:szCs w:val="21"/>
              </w:rPr>
              <w:t>施工准备阶段、施工阶段、交工验收阶段和缺陷责任期阶段。（含保修期）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2690" w:hRule="atLeast"/>
        </w:trPr>
        <w:tc>
          <w:tcPr>
            <w:tcW w:w="715" w:type="dxa"/>
          </w:tcPr>
          <w:p>
            <w:pPr>
              <w:pStyle w:val="25"/>
              <w:rPr>
                <w:rFonts w:hint="eastAsia" w:ascii="宋体" w:hAnsi="宋体" w:eastAsia="宋体" w:cs="宋体"/>
                <w:b/>
                <w:sz w:val="21"/>
                <w:szCs w:val="21"/>
              </w:rPr>
            </w:pPr>
          </w:p>
          <w:p>
            <w:pPr>
              <w:pStyle w:val="25"/>
              <w:rPr>
                <w:rFonts w:hint="eastAsia" w:ascii="宋体" w:hAnsi="宋体" w:eastAsia="宋体" w:cs="宋体"/>
                <w:b/>
                <w:sz w:val="21"/>
                <w:szCs w:val="21"/>
              </w:rPr>
            </w:pPr>
          </w:p>
          <w:p>
            <w:pPr>
              <w:pStyle w:val="25"/>
              <w:rPr>
                <w:rFonts w:hint="eastAsia" w:ascii="宋体" w:hAnsi="宋体" w:eastAsia="宋体" w:cs="宋体"/>
                <w:b/>
                <w:sz w:val="21"/>
                <w:szCs w:val="21"/>
              </w:rPr>
            </w:pPr>
          </w:p>
          <w:p>
            <w:pPr>
              <w:pStyle w:val="25"/>
              <w:spacing w:before="11"/>
              <w:rPr>
                <w:rFonts w:hint="eastAsia" w:ascii="宋体" w:hAnsi="宋体" w:eastAsia="宋体" w:cs="宋体"/>
                <w:b/>
                <w:sz w:val="21"/>
                <w:szCs w:val="21"/>
              </w:rPr>
            </w:pPr>
          </w:p>
          <w:p>
            <w:pPr>
              <w:pStyle w:val="25"/>
              <w:spacing w:before="11"/>
              <w:rPr>
                <w:rFonts w:hint="eastAsia" w:ascii="宋体" w:hAnsi="宋体" w:eastAsia="宋体" w:cs="宋体"/>
                <w:b/>
                <w:sz w:val="21"/>
                <w:szCs w:val="21"/>
              </w:rPr>
            </w:pPr>
          </w:p>
          <w:p>
            <w:pPr>
              <w:pStyle w:val="25"/>
              <w:ind w:left="160" w:right="25"/>
              <w:jc w:val="center"/>
              <w:rPr>
                <w:rFonts w:hint="eastAsia" w:ascii="宋体" w:hAnsi="宋体" w:eastAsia="宋体" w:cs="宋体"/>
                <w:sz w:val="21"/>
                <w:szCs w:val="21"/>
              </w:rPr>
            </w:pPr>
            <w:r>
              <w:rPr>
                <w:rFonts w:hint="eastAsia" w:ascii="宋体" w:hAnsi="宋体" w:eastAsia="宋体" w:cs="宋体"/>
                <w:sz w:val="21"/>
                <w:szCs w:val="21"/>
              </w:rPr>
              <w:t xml:space="preserve">4 </w:t>
            </w:r>
          </w:p>
        </w:tc>
        <w:tc>
          <w:tcPr>
            <w:tcW w:w="1763" w:type="dxa"/>
          </w:tcPr>
          <w:p>
            <w:pPr>
              <w:pStyle w:val="25"/>
              <w:rPr>
                <w:rFonts w:hint="eastAsia" w:ascii="宋体" w:hAnsi="宋体" w:eastAsia="宋体" w:cs="宋体"/>
                <w:b/>
                <w:sz w:val="21"/>
                <w:szCs w:val="21"/>
              </w:rPr>
            </w:pPr>
          </w:p>
          <w:p>
            <w:pPr>
              <w:pStyle w:val="25"/>
              <w:rPr>
                <w:rFonts w:hint="eastAsia" w:ascii="宋体" w:hAnsi="宋体" w:eastAsia="宋体" w:cs="宋体"/>
                <w:b/>
                <w:sz w:val="21"/>
                <w:szCs w:val="21"/>
              </w:rPr>
            </w:pPr>
          </w:p>
          <w:p>
            <w:pPr>
              <w:pStyle w:val="25"/>
              <w:rPr>
                <w:rFonts w:hint="eastAsia" w:ascii="宋体" w:hAnsi="宋体" w:eastAsia="宋体" w:cs="宋体"/>
                <w:b/>
                <w:sz w:val="21"/>
                <w:szCs w:val="21"/>
              </w:rPr>
            </w:pPr>
          </w:p>
          <w:p>
            <w:pPr>
              <w:pStyle w:val="25"/>
              <w:spacing w:before="12"/>
              <w:rPr>
                <w:rFonts w:hint="eastAsia" w:ascii="宋体" w:hAnsi="宋体" w:eastAsia="宋体" w:cs="宋体"/>
                <w:b/>
                <w:sz w:val="21"/>
                <w:szCs w:val="21"/>
              </w:rPr>
            </w:pPr>
          </w:p>
          <w:p>
            <w:pPr>
              <w:pStyle w:val="25"/>
              <w:spacing w:line="379" w:lineRule="auto"/>
              <w:ind w:left="435" w:right="142" w:hanging="105"/>
              <w:rPr>
                <w:rFonts w:hint="eastAsia" w:ascii="宋体" w:hAnsi="宋体" w:eastAsia="宋体" w:cs="宋体"/>
                <w:sz w:val="21"/>
                <w:szCs w:val="21"/>
              </w:rPr>
            </w:pPr>
            <w:r>
              <w:rPr>
                <w:rFonts w:hint="eastAsia" w:ascii="宋体" w:hAnsi="宋体" w:eastAsia="宋体" w:cs="宋体"/>
                <w:sz w:val="21"/>
                <w:szCs w:val="21"/>
              </w:rPr>
              <w:t xml:space="preserve">投标资质条件及其他要求 </w:t>
            </w:r>
          </w:p>
        </w:tc>
        <w:tc>
          <w:tcPr>
            <w:tcW w:w="8141" w:type="dxa"/>
            <w:vAlign w:val="top"/>
          </w:tcPr>
          <w:p>
            <w:pPr>
              <w:spacing w:line="360" w:lineRule="exact"/>
              <w:rPr>
                <w:rFonts w:ascii="宋体"/>
                <w:szCs w:val="21"/>
              </w:rPr>
            </w:pPr>
            <w:r>
              <w:rPr>
                <w:rFonts w:hint="eastAsia" w:ascii="宋体" w:hAnsi="宋体" w:cs="宋体"/>
                <w:bCs/>
                <w:color w:val="000000" w:themeColor="text1"/>
                <w:szCs w:val="21"/>
                <w14:textFill>
                  <w14:solidFill>
                    <w14:schemeClr w14:val="tx1"/>
                  </w14:solidFill>
                </w14:textFill>
              </w:rPr>
              <w:t>1.</w:t>
            </w:r>
            <w:r>
              <w:rPr>
                <w:rFonts w:hint="eastAsia" w:ascii="宋体"/>
                <w:szCs w:val="21"/>
              </w:rPr>
              <w:t>企业资质要求：具有独立法人资格且具备市政公用工程监理乙级及以上资质（或综合资质）的企业</w:t>
            </w:r>
            <w:r>
              <w:rPr>
                <w:rFonts w:hint="eastAsia"/>
                <w:szCs w:val="21"/>
                <w:lang w:eastAsia="zh-CN"/>
              </w:rPr>
              <w:t>（备注：</w:t>
            </w:r>
            <w:r>
              <w:rPr>
                <w:rFonts w:hint="eastAsia"/>
                <w:szCs w:val="21"/>
                <w:lang w:val="en-US" w:eastAsia="zh-CN"/>
              </w:rPr>
              <w:t>投标人必须是2019年安徽省滁州琅琊山零星工程监理库已入库企业</w:t>
            </w:r>
            <w:r>
              <w:rPr>
                <w:rFonts w:hint="eastAsia"/>
                <w:szCs w:val="21"/>
                <w:lang w:eastAsia="zh-CN"/>
              </w:rPr>
              <w:t>）</w:t>
            </w:r>
            <w:r>
              <w:rPr>
                <w:rFonts w:hint="eastAsia" w:ascii="宋体"/>
                <w:szCs w:val="21"/>
              </w:rPr>
              <w:t xml:space="preserve">。 </w:t>
            </w:r>
          </w:p>
          <w:p>
            <w:pPr>
              <w:widowControl/>
              <w:spacing w:line="360" w:lineRule="exact"/>
              <w:jc w:val="left"/>
              <w:rPr>
                <w:b/>
                <w:bCs/>
                <w:sz w:val="21"/>
                <w:szCs w:val="21"/>
              </w:rPr>
            </w:pPr>
            <w:r>
              <w:rPr>
                <w:rFonts w:hint="eastAsia" w:ascii="宋体"/>
                <w:szCs w:val="21"/>
              </w:rPr>
              <w:t>2.总监要求：</w:t>
            </w:r>
            <w:r>
              <w:rPr>
                <w:rFonts w:hint="eastAsia"/>
              </w:rPr>
              <w:t>拟派总监理工程师必须持有在本单位注册的市政公用工程专业国家级注册监理工程师证书。</w:t>
            </w:r>
          </w:p>
          <w:p>
            <w:pPr>
              <w:pStyle w:val="25"/>
              <w:spacing w:before="11" w:line="348" w:lineRule="auto"/>
              <w:ind w:right="83"/>
              <w:jc w:val="both"/>
              <w:rPr>
                <w:sz w:val="21"/>
                <w:szCs w:val="21"/>
              </w:rPr>
            </w:pPr>
            <w:r>
              <w:rPr>
                <w:rFonts w:hint="eastAsia"/>
                <w:sz w:val="21"/>
                <w:szCs w:val="21"/>
                <w:lang w:val="en-US" w:eastAsia="zh-CN"/>
              </w:rPr>
              <w:t>3</w:t>
            </w:r>
            <w:r>
              <w:rPr>
                <w:sz w:val="21"/>
                <w:szCs w:val="21"/>
              </w:rPr>
              <w:t>、根据《最高人民法院关于公布失信被执行人名单信息的若干规定（法释[2013]17 号）》第六条规定，投标人及其法定代表人、项目负责人在人民法院公布的失信被执行人名单中不得参加投标；</w:t>
            </w:r>
          </w:p>
          <w:p>
            <w:pPr>
              <w:pStyle w:val="25"/>
              <w:spacing w:before="25" w:line="348" w:lineRule="auto"/>
              <w:ind w:right="109"/>
              <w:jc w:val="both"/>
              <w:rPr>
                <w:sz w:val="21"/>
                <w:szCs w:val="21"/>
              </w:rPr>
            </w:pPr>
            <w:r>
              <w:rPr>
                <w:rFonts w:hint="eastAsia"/>
                <w:sz w:val="21"/>
                <w:szCs w:val="21"/>
                <w:lang w:val="en-US" w:eastAsia="zh-CN"/>
              </w:rPr>
              <w:t>4</w:t>
            </w:r>
            <w:r>
              <w:rPr>
                <w:sz w:val="21"/>
                <w:szCs w:val="21"/>
              </w:rPr>
              <w:t>、投标企业因违反法律、法规、规章规定以及其他扰乱秩序等行为被滁州市公管局披露信用信息的，招标人不接受其在披露期内的投标文件。</w:t>
            </w:r>
          </w:p>
          <w:p>
            <w:pPr>
              <w:pStyle w:val="25"/>
              <w:spacing w:before="1"/>
              <w:rPr>
                <w:rFonts w:hint="eastAsia" w:ascii="宋体" w:hAnsi="宋体" w:eastAsia="宋体" w:cs="宋体"/>
                <w:sz w:val="21"/>
                <w:szCs w:val="21"/>
              </w:rPr>
            </w:pPr>
            <w:r>
              <w:rPr>
                <w:rFonts w:hint="eastAsia"/>
                <w:sz w:val="21"/>
                <w:szCs w:val="21"/>
                <w:lang w:val="en-US" w:eastAsia="zh-CN"/>
              </w:rPr>
              <w:t>5</w:t>
            </w:r>
            <w:r>
              <w:rPr>
                <w:sz w:val="21"/>
                <w:szCs w:val="21"/>
              </w:rPr>
              <w:t>、本项目不接受联合体投标。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520" w:hRule="atLeast"/>
        </w:trPr>
        <w:tc>
          <w:tcPr>
            <w:tcW w:w="715" w:type="dxa"/>
          </w:tcPr>
          <w:p>
            <w:pPr>
              <w:pStyle w:val="25"/>
              <w:spacing w:before="115"/>
              <w:ind w:left="160" w:right="25"/>
              <w:jc w:val="center"/>
              <w:rPr>
                <w:rFonts w:hint="eastAsia" w:ascii="宋体" w:hAnsi="宋体" w:eastAsia="宋体" w:cs="宋体"/>
                <w:sz w:val="21"/>
                <w:szCs w:val="21"/>
              </w:rPr>
            </w:pPr>
            <w:r>
              <w:rPr>
                <w:rFonts w:hint="eastAsia" w:ascii="宋体" w:hAnsi="宋体" w:eastAsia="宋体" w:cs="宋体"/>
                <w:sz w:val="21"/>
                <w:szCs w:val="21"/>
              </w:rPr>
              <w:t xml:space="preserve">5 </w:t>
            </w:r>
          </w:p>
        </w:tc>
        <w:tc>
          <w:tcPr>
            <w:tcW w:w="1763" w:type="dxa"/>
          </w:tcPr>
          <w:p>
            <w:pPr>
              <w:pStyle w:val="25"/>
              <w:spacing w:before="160"/>
              <w:ind w:left="105"/>
              <w:jc w:val="center"/>
              <w:rPr>
                <w:rFonts w:hint="eastAsia" w:ascii="宋体" w:hAnsi="宋体" w:eastAsia="宋体" w:cs="宋体"/>
                <w:sz w:val="21"/>
                <w:szCs w:val="21"/>
              </w:rPr>
            </w:pPr>
            <w:r>
              <w:rPr>
                <w:rFonts w:hint="eastAsia" w:ascii="宋体" w:hAnsi="宋体" w:eastAsia="宋体" w:cs="宋体"/>
                <w:sz w:val="21"/>
                <w:szCs w:val="21"/>
              </w:rPr>
              <w:t xml:space="preserve">踏勘现场 </w:t>
            </w:r>
          </w:p>
        </w:tc>
        <w:tc>
          <w:tcPr>
            <w:tcW w:w="8141" w:type="dxa"/>
          </w:tcPr>
          <w:p>
            <w:pPr>
              <w:pStyle w:val="25"/>
              <w:spacing w:before="160"/>
              <w:rPr>
                <w:rFonts w:hint="eastAsia" w:ascii="宋体" w:hAnsi="宋体" w:eastAsia="宋体" w:cs="宋体"/>
                <w:sz w:val="21"/>
                <w:szCs w:val="21"/>
              </w:rPr>
            </w:pPr>
            <w:r>
              <w:rPr>
                <w:rFonts w:hint="eastAsia" w:ascii="宋体" w:hAnsi="宋体" w:eastAsia="宋体" w:cs="宋体"/>
                <w:sz w:val="21"/>
                <w:szCs w:val="21"/>
              </w:rPr>
              <w:t xml:space="preserve">不组织，投标人自行组织踏勘现场。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632" w:hRule="atLeast"/>
        </w:trPr>
        <w:tc>
          <w:tcPr>
            <w:tcW w:w="715" w:type="dxa"/>
            <w:vAlign w:val="center"/>
          </w:tcPr>
          <w:p>
            <w:pPr>
              <w:pStyle w:val="25"/>
              <w:spacing w:before="140"/>
              <w:ind w:right="25"/>
              <w:jc w:val="center"/>
              <w:rPr>
                <w:rFonts w:hint="eastAsia" w:ascii="宋体" w:hAnsi="宋体" w:eastAsia="宋体" w:cs="宋体"/>
                <w:sz w:val="21"/>
                <w:szCs w:val="21"/>
              </w:rPr>
            </w:pPr>
            <w:r>
              <w:rPr>
                <w:rFonts w:hint="eastAsia" w:ascii="宋体" w:hAnsi="宋体" w:eastAsia="宋体" w:cs="宋体"/>
                <w:sz w:val="21"/>
                <w:szCs w:val="21"/>
              </w:rPr>
              <w:t>6</w:t>
            </w:r>
          </w:p>
        </w:tc>
        <w:tc>
          <w:tcPr>
            <w:tcW w:w="1763" w:type="dxa"/>
            <w:vAlign w:val="center"/>
          </w:tcPr>
          <w:p>
            <w:pPr>
              <w:pStyle w:val="25"/>
              <w:jc w:val="center"/>
              <w:rPr>
                <w:rFonts w:hint="eastAsia" w:ascii="宋体" w:hAnsi="宋体" w:eastAsia="宋体" w:cs="宋体"/>
                <w:sz w:val="21"/>
                <w:szCs w:val="21"/>
              </w:rPr>
            </w:pPr>
            <w:r>
              <w:rPr>
                <w:rFonts w:hint="eastAsia" w:ascii="宋体" w:hAnsi="宋体" w:eastAsia="宋体" w:cs="宋体"/>
                <w:sz w:val="21"/>
                <w:szCs w:val="21"/>
              </w:rPr>
              <w:t>投标文件</w:t>
            </w:r>
          </w:p>
        </w:tc>
        <w:tc>
          <w:tcPr>
            <w:tcW w:w="8141" w:type="dxa"/>
            <w:vAlign w:val="center"/>
          </w:tcPr>
          <w:p>
            <w:pPr>
              <w:pStyle w:val="25"/>
              <w:keepNext w:val="0"/>
              <w:keepLines w:val="0"/>
              <w:pageBreakBefore w:val="0"/>
              <w:widowControl w:val="0"/>
              <w:kinsoku/>
              <w:wordWrap/>
              <w:overflowPunct/>
              <w:topLinePunct w:val="0"/>
              <w:autoSpaceDE w:val="0"/>
              <w:autoSpaceDN w:val="0"/>
              <w:bidi w:val="0"/>
              <w:adjustRightInd/>
              <w:snapToGrid/>
              <w:spacing w:before="20" w:line="440" w:lineRule="exact"/>
              <w:ind w:right="-45"/>
              <w:jc w:val="both"/>
              <w:textAlignment w:val="auto"/>
              <w:rPr>
                <w:rFonts w:hint="default" w:cs="宋体"/>
                <w:sz w:val="21"/>
                <w:szCs w:val="21"/>
                <w:lang w:val="en-US" w:eastAsia="zh-CN"/>
              </w:rPr>
            </w:pPr>
            <w:r>
              <w:rPr>
                <w:rFonts w:hint="eastAsia" w:cs="宋体"/>
                <w:sz w:val="21"/>
                <w:szCs w:val="21"/>
                <w:lang w:val="en-US" w:eastAsia="zh-CN"/>
              </w:rPr>
              <w:t>现场只须提供以下资料：</w:t>
            </w:r>
          </w:p>
          <w:p>
            <w:pPr>
              <w:pStyle w:val="25"/>
              <w:keepNext w:val="0"/>
              <w:keepLines w:val="0"/>
              <w:pageBreakBefore w:val="0"/>
              <w:widowControl w:val="0"/>
              <w:numPr>
                <w:ilvl w:val="0"/>
                <w:numId w:val="1"/>
              </w:numPr>
              <w:kinsoku/>
              <w:wordWrap/>
              <w:overflowPunct/>
              <w:topLinePunct w:val="0"/>
              <w:autoSpaceDE w:val="0"/>
              <w:autoSpaceDN w:val="0"/>
              <w:bidi w:val="0"/>
              <w:adjustRightInd/>
              <w:snapToGrid/>
              <w:spacing w:before="20" w:line="440" w:lineRule="exact"/>
              <w:ind w:right="-45"/>
              <w:jc w:val="both"/>
              <w:textAlignment w:val="auto"/>
              <w:rPr>
                <w:rFonts w:hint="eastAsia" w:cs="宋体"/>
                <w:sz w:val="21"/>
                <w:szCs w:val="21"/>
                <w:lang w:val="en-US" w:eastAsia="zh-CN"/>
              </w:rPr>
            </w:pPr>
            <w:r>
              <w:rPr>
                <w:rFonts w:hint="eastAsia" w:cs="宋体"/>
                <w:sz w:val="21"/>
                <w:szCs w:val="21"/>
                <w:lang w:val="en-US" w:eastAsia="zh-CN"/>
              </w:rPr>
              <w:t>授权委托书原件和委托代理人有效身份证原件（手持）。</w:t>
            </w: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before="20" w:line="440" w:lineRule="exact"/>
              <w:ind w:right="-45" w:rightChars="0"/>
              <w:jc w:val="both"/>
              <w:textAlignment w:val="auto"/>
              <w:rPr>
                <w:rFonts w:hint="default" w:ascii="宋体" w:hAnsi="宋体" w:eastAsia="宋体" w:cs="宋体"/>
                <w:sz w:val="21"/>
                <w:szCs w:val="21"/>
                <w:lang w:val="en-US" w:eastAsia="zh-CN"/>
              </w:rPr>
            </w:pPr>
            <w:r>
              <w:rPr>
                <w:rFonts w:hint="eastAsia" w:cs="宋体"/>
                <w:sz w:val="21"/>
                <w:szCs w:val="21"/>
                <w:lang w:val="en-US" w:eastAsia="zh-CN"/>
              </w:rPr>
              <w:t>2、详见投标文件审查标准（按要求密封带至投标现场递交）。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632" w:hRule="atLeast"/>
        </w:trPr>
        <w:tc>
          <w:tcPr>
            <w:tcW w:w="715" w:type="dxa"/>
            <w:vAlign w:val="center"/>
          </w:tcPr>
          <w:p>
            <w:pPr>
              <w:pStyle w:val="25"/>
              <w:spacing w:before="140"/>
              <w:ind w:right="25"/>
              <w:jc w:val="center"/>
              <w:rPr>
                <w:rFonts w:hint="eastAsia" w:ascii="宋体" w:hAnsi="宋体" w:eastAsia="宋体" w:cs="宋体"/>
                <w:sz w:val="21"/>
                <w:szCs w:val="21"/>
                <w:lang w:val="en-US" w:eastAsia="zh-CN"/>
              </w:rPr>
            </w:pPr>
            <w:r>
              <w:rPr>
                <w:rFonts w:hint="eastAsia" w:cs="宋体"/>
                <w:sz w:val="21"/>
                <w:szCs w:val="21"/>
                <w:lang w:val="en-US" w:eastAsia="zh-CN"/>
              </w:rPr>
              <w:t>7</w:t>
            </w:r>
          </w:p>
        </w:tc>
        <w:tc>
          <w:tcPr>
            <w:tcW w:w="1763" w:type="dxa"/>
            <w:vAlign w:val="center"/>
          </w:tcPr>
          <w:p>
            <w:pPr>
              <w:pStyle w:val="25"/>
              <w:jc w:val="center"/>
              <w:rPr>
                <w:rFonts w:hint="eastAsia" w:ascii="宋体" w:hAnsi="宋体" w:eastAsia="宋体" w:cs="宋体"/>
                <w:sz w:val="21"/>
                <w:szCs w:val="21"/>
              </w:rPr>
            </w:pPr>
            <w:r>
              <w:rPr>
                <w:rFonts w:hint="eastAsia" w:cs="宋体"/>
                <w:sz w:val="21"/>
                <w:szCs w:val="21"/>
                <w:lang w:eastAsia="zh-CN"/>
              </w:rPr>
              <w:t>评标小组</w:t>
            </w:r>
            <w:r>
              <w:rPr>
                <w:rFonts w:hint="eastAsia" w:ascii="宋体" w:hAnsi="宋体" w:eastAsia="宋体" w:cs="宋体"/>
                <w:sz w:val="21"/>
                <w:szCs w:val="21"/>
              </w:rPr>
              <w:t>的组建</w:t>
            </w:r>
          </w:p>
        </w:tc>
        <w:tc>
          <w:tcPr>
            <w:tcW w:w="8141" w:type="dxa"/>
            <w:vAlign w:val="center"/>
          </w:tcPr>
          <w:p>
            <w:pPr>
              <w:pStyle w:val="25"/>
              <w:spacing w:before="20"/>
              <w:ind w:right="-45"/>
              <w:jc w:val="both"/>
              <w:rPr>
                <w:rFonts w:hint="eastAsia" w:ascii="宋体" w:hAnsi="宋体" w:eastAsia="宋体" w:cs="宋体"/>
                <w:sz w:val="21"/>
                <w:szCs w:val="21"/>
              </w:rPr>
            </w:pPr>
            <w:r>
              <w:rPr>
                <w:rFonts w:hint="eastAsia" w:cs="宋体"/>
                <w:sz w:val="21"/>
                <w:szCs w:val="21"/>
                <w:lang w:eastAsia="zh-CN"/>
              </w:rPr>
              <w:t>评标小组</w:t>
            </w:r>
            <w:r>
              <w:rPr>
                <w:rFonts w:hint="eastAsia" w:ascii="宋体" w:hAnsi="宋体" w:eastAsia="宋体" w:cs="宋体"/>
                <w:sz w:val="21"/>
                <w:szCs w:val="21"/>
              </w:rPr>
              <w:t>由招标人3人及以上的单数组成；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632" w:hRule="atLeast"/>
        </w:trPr>
        <w:tc>
          <w:tcPr>
            <w:tcW w:w="715" w:type="dxa"/>
            <w:vAlign w:val="center"/>
          </w:tcPr>
          <w:p>
            <w:pPr>
              <w:pStyle w:val="25"/>
              <w:spacing w:before="140"/>
              <w:ind w:right="25"/>
              <w:jc w:val="center"/>
              <w:rPr>
                <w:rFonts w:hint="eastAsia" w:ascii="宋体" w:hAnsi="宋体" w:eastAsia="宋体" w:cs="宋体"/>
                <w:sz w:val="21"/>
                <w:szCs w:val="21"/>
                <w:lang w:val="en-US" w:eastAsia="zh-CN"/>
              </w:rPr>
            </w:pPr>
            <w:r>
              <w:rPr>
                <w:rFonts w:hint="eastAsia" w:cs="宋体"/>
                <w:sz w:val="21"/>
                <w:szCs w:val="21"/>
                <w:lang w:val="en-US" w:eastAsia="zh-CN"/>
              </w:rPr>
              <w:t>8</w:t>
            </w:r>
          </w:p>
        </w:tc>
        <w:tc>
          <w:tcPr>
            <w:tcW w:w="1763" w:type="dxa"/>
            <w:vAlign w:val="center"/>
          </w:tcPr>
          <w:p>
            <w:pPr>
              <w:pStyle w:val="25"/>
              <w:jc w:val="center"/>
              <w:rPr>
                <w:rFonts w:hint="eastAsia" w:ascii="宋体" w:hAnsi="宋体" w:eastAsia="宋体" w:cs="宋体"/>
                <w:sz w:val="21"/>
                <w:szCs w:val="21"/>
              </w:rPr>
            </w:pPr>
            <w:r>
              <w:rPr>
                <w:rFonts w:hint="eastAsia" w:ascii="宋体" w:hAnsi="宋体" w:eastAsia="宋体" w:cs="宋体"/>
                <w:sz w:val="21"/>
                <w:szCs w:val="21"/>
              </w:rPr>
              <w:t>是否授权</w:t>
            </w:r>
            <w:r>
              <w:rPr>
                <w:rFonts w:hint="eastAsia" w:cs="宋体"/>
                <w:sz w:val="21"/>
                <w:szCs w:val="21"/>
                <w:lang w:eastAsia="zh-CN"/>
              </w:rPr>
              <w:t>评标小组</w:t>
            </w:r>
            <w:r>
              <w:rPr>
                <w:rFonts w:hint="eastAsia" w:ascii="宋体" w:hAnsi="宋体" w:eastAsia="宋体" w:cs="宋体"/>
                <w:sz w:val="21"/>
                <w:szCs w:val="21"/>
              </w:rPr>
              <w:t xml:space="preserve">确定中标人 </w:t>
            </w:r>
          </w:p>
        </w:tc>
        <w:tc>
          <w:tcPr>
            <w:tcW w:w="8141" w:type="dxa"/>
            <w:vAlign w:val="center"/>
          </w:tcPr>
          <w:p>
            <w:pPr>
              <w:pStyle w:val="25"/>
              <w:spacing w:before="20"/>
              <w:ind w:right="-45"/>
              <w:jc w:val="both"/>
              <w:rPr>
                <w:rFonts w:hint="eastAsia" w:ascii="宋体" w:hAnsi="宋体" w:eastAsia="宋体" w:cs="宋体"/>
                <w:sz w:val="21"/>
                <w:szCs w:val="21"/>
              </w:rPr>
            </w:pPr>
            <w:r>
              <w:rPr>
                <w:rFonts w:hint="eastAsia" w:ascii="宋体" w:hAnsi="宋体" w:eastAsia="宋体" w:cs="宋体"/>
                <w:sz w:val="21"/>
                <w:szCs w:val="21"/>
              </w:rPr>
              <w:t xml:space="preserve">√ 是； </w:t>
            </w:r>
            <w:r>
              <w:rPr>
                <w:rFonts w:hint="eastAsia" w:cs="宋体"/>
                <w:sz w:val="21"/>
                <w:szCs w:val="21"/>
                <w:lang w:eastAsia="zh-CN"/>
              </w:rPr>
              <w:t>☑</w:t>
            </w:r>
            <w:r>
              <w:rPr>
                <w:rFonts w:hint="eastAsia" w:ascii="宋体" w:hAnsi="宋体" w:eastAsia="宋体" w:cs="宋体"/>
                <w:sz w:val="21"/>
                <w:szCs w:val="21"/>
              </w:rPr>
              <w:t>否，推荐的中标候选人数：1 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632" w:hRule="atLeast"/>
        </w:trPr>
        <w:tc>
          <w:tcPr>
            <w:tcW w:w="715" w:type="dxa"/>
            <w:vAlign w:val="center"/>
          </w:tcPr>
          <w:p>
            <w:pPr>
              <w:pStyle w:val="25"/>
              <w:spacing w:before="140"/>
              <w:ind w:right="25"/>
              <w:jc w:val="center"/>
              <w:rPr>
                <w:rFonts w:hint="eastAsia" w:ascii="宋体" w:hAnsi="宋体" w:eastAsia="宋体" w:cs="宋体"/>
                <w:sz w:val="21"/>
                <w:szCs w:val="21"/>
                <w:lang w:val="en-US" w:eastAsia="zh-CN"/>
              </w:rPr>
            </w:pPr>
            <w:r>
              <w:rPr>
                <w:rFonts w:hint="eastAsia" w:cs="宋体"/>
                <w:sz w:val="21"/>
                <w:szCs w:val="21"/>
                <w:lang w:val="en-US" w:eastAsia="zh-CN"/>
              </w:rPr>
              <w:t>9</w:t>
            </w:r>
          </w:p>
        </w:tc>
        <w:tc>
          <w:tcPr>
            <w:tcW w:w="1763" w:type="dxa"/>
            <w:vAlign w:val="center"/>
          </w:tcPr>
          <w:p>
            <w:pPr>
              <w:pStyle w:val="25"/>
              <w:jc w:val="center"/>
              <w:rPr>
                <w:rFonts w:hint="eastAsia" w:ascii="宋体" w:hAnsi="宋体" w:eastAsia="宋体" w:cs="宋体"/>
                <w:sz w:val="21"/>
                <w:szCs w:val="21"/>
              </w:rPr>
            </w:pPr>
            <w:r>
              <w:rPr>
                <w:rFonts w:hint="eastAsia" w:ascii="宋体" w:hAnsi="宋体" w:eastAsia="宋体" w:cs="宋体"/>
                <w:sz w:val="21"/>
                <w:szCs w:val="21"/>
              </w:rPr>
              <w:t>中标候选人公示媒介</w:t>
            </w:r>
          </w:p>
        </w:tc>
        <w:tc>
          <w:tcPr>
            <w:tcW w:w="8141" w:type="dxa"/>
            <w:vAlign w:val="center"/>
          </w:tcPr>
          <w:p>
            <w:pPr>
              <w:pStyle w:val="25"/>
              <w:spacing w:before="20"/>
              <w:ind w:right="-45"/>
              <w:jc w:val="both"/>
              <w:rPr>
                <w:rFonts w:hint="eastAsia" w:ascii="宋体" w:hAnsi="宋体" w:eastAsia="宋体" w:cs="宋体"/>
                <w:sz w:val="21"/>
                <w:szCs w:val="21"/>
              </w:rPr>
            </w:pPr>
            <w:r>
              <w:rPr>
                <w:rFonts w:hint="eastAsia" w:ascii="宋体" w:hAnsi="宋体" w:eastAsia="宋体" w:cs="宋体"/>
                <w:sz w:val="21"/>
                <w:szCs w:val="21"/>
              </w:rPr>
              <w:t>在滁州市琅琊山风景名胜区管理委员会网（http://lgw.chuzhou.gov.cn/index.html）网站公告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632" w:hRule="atLeast"/>
        </w:trPr>
        <w:tc>
          <w:tcPr>
            <w:tcW w:w="715" w:type="dxa"/>
            <w:vAlign w:val="center"/>
          </w:tcPr>
          <w:p>
            <w:pPr>
              <w:pStyle w:val="25"/>
              <w:spacing w:before="140"/>
              <w:ind w:right="25"/>
              <w:jc w:val="center"/>
              <w:rPr>
                <w:rFonts w:hint="default" w:ascii="宋体" w:hAnsi="宋体" w:eastAsia="宋体" w:cs="宋体"/>
                <w:sz w:val="21"/>
                <w:szCs w:val="21"/>
                <w:lang w:val="en-US" w:eastAsia="zh-CN"/>
              </w:rPr>
            </w:pPr>
            <w:r>
              <w:rPr>
                <w:rFonts w:hint="eastAsia" w:cs="宋体"/>
                <w:sz w:val="21"/>
                <w:szCs w:val="21"/>
                <w:lang w:val="en-US" w:eastAsia="zh-CN"/>
              </w:rPr>
              <w:t>10</w:t>
            </w:r>
          </w:p>
        </w:tc>
        <w:tc>
          <w:tcPr>
            <w:tcW w:w="1763" w:type="dxa"/>
            <w:vAlign w:val="center"/>
          </w:tcPr>
          <w:p>
            <w:pPr>
              <w:ind w:left="0" w:leftChars="0" w:right="0" w:rightChars="0"/>
              <w:jc w:val="center"/>
              <w:rPr>
                <w:rFonts w:hint="eastAsia" w:ascii="宋体" w:hAnsi="宋体" w:eastAsia="宋体" w:cs="宋体"/>
                <w:sz w:val="21"/>
                <w:szCs w:val="21"/>
              </w:rPr>
            </w:pPr>
            <w:r>
              <w:rPr>
                <w:rFonts w:hint="eastAsia"/>
                <w:color w:val="auto"/>
                <w:sz w:val="21"/>
                <w:szCs w:val="21"/>
                <w:highlight w:val="none"/>
              </w:rPr>
              <w:t>投标保证金</w:t>
            </w:r>
          </w:p>
        </w:tc>
        <w:tc>
          <w:tcPr>
            <w:tcW w:w="8141" w:type="dxa"/>
            <w:vAlign w:val="center"/>
          </w:tcPr>
          <w:p>
            <w:pPr>
              <w:keepNext w:val="0"/>
              <w:keepLines w:val="0"/>
              <w:pageBreakBefore w:val="0"/>
              <w:widowControl w:val="0"/>
              <w:kinsoku/>
              <w:wordWrap/>
              <w:overflowPunct/>
              <w:topLinePunct w:val="0"/>
              <w:autoSpaceDE w:val="0"/>
              <w:autoSpaceDN w:val="0"/>
              <w:bidi w:val="0"/>
              <w:adjustRightInd/>
              <w:snapToGrid/>
              <w:spacing w:before="20" w:line="350" w:lineRule="exact"/>
              <w:ind w:left="0" w:leftChars="0" w:right="0" w:rightChars="0"/>
              <w:jc w:val="both"/>
              <w:textAlignment w:val="auto"/>
              <w:rPr>
                <w:rFonts w:hint="eastAsia" w:ascii="宋体" w:hAnsi="宋体" w:eastAsia="宋体" w:cs="宋体"/>
                <w:sz w:val="21"/>
                <w:szCs w:val="21"/>
              </w:rPr>
            </w:pPr>
            <w:r>
              <w:rPr>
                <w:rFonts w:hint="eastAsia"/>
                <w:color w:val="auto"/>
                <w:sz w:val="21"/>
                <w:szCs w:val="21"/>
                <w:highlight w:val="none"/>
                <w:lang w:eastAsia="zh-CN"/>
              </w:rPr>
              <w:t>本项目无需缴纳保证金。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632" w:hRule="atLeast"/>
        </w:trPr>
        <w:tc>
          <w:tcPr>
            <w:tcW w:w="715" w:type="dxa"/>
            <w:vAlign w:val="center"/>
          </w:tcPr>
          <w:p>
            <w:pPr>
              <w:pStyle w:val="25"/>
              <w:spacing w:before="140"/>
              <w:ind w:right="25"/>
              <w:jc w:val="center"/>
              <w:rPr>
                <w:rFonts w:hint="default" w:ascii="宋体" w:hAnsi="宋体" w:eastAsia="宋体" w:cs="宋体"/>
                <w:sz w:val="21"/>
                <w:szCs w:val="21"/>
                <w:lang w:val="en-US" w:eastAsia="zh-CN"/>
              </w:rPr>
            </w:pPr>
            <w:r>
              <w:rPr>
                <w:rFonts w:hint="eastAsia" w:cs="宋体"/>
                <w:sz w:val="21"/>
                <w:szCs w:val="21"/>
                <w:lang w:val="en-US" w:eastAsia="zh-CN"/>
              </w:rPr>
              <w:t>11</w:t>
            </w:r>
          </w:p>
        </w:tc>
        <w:tc>
          <w:tcPr>
            <w:tcW w:w="1763" w:type="dxa"/>
            <w:vAlign w:val="center"/>
          </w:tcPr>
          <w:p>
            <w:pPr>
              <w:pStyle w:val="25"/>
              <w:jc w:val="center"/>
              <w:rPr>
                <w:rFonts w:hint="eastAsia" w:ascii="宋体" w:hAnsi="宋体" w:eastAsia="宋体" w:cs="宋体"/>
                <w:sz w:val="21"/>
                <w:szCs w:val="21"/>
              </w:rPr>
            </w:pPr>
            <w:r>
              <w:rPr>
                <w:rFonts w:hint="eastAsia" w:ascii="宋体" w:hAnsi="宋体" w:eastAsia="宋体" w:cs="宋体"/>
                <w:sz w:val="21"/>
                <w:szCs w:val="21"/>
              </w:rPr>
              <w:t>履约保证金</w:t>
            </w:r>
          </w:p>
        </w:tc>
        <w:tc>
          <w:tcPr>
            <w:tcW w:w="8141" w:type="dxa"/>
            <w:vAlign w:val="center"/>
          </w:tcPr>
          <w:p>
            <w:pPr>
              <w:pStyle w:val="25"/>
              <w:keepNext w:val="0"/>
              <w:keepLines w:val="0"/>
              <w:pageBreakBefore w:val="0"/>
              <w:widowControl w:val="0"/>
              <w:kinsoku/>
              <w:wordWrap/>
              <w:overflowPunct/>
              <w:topLinePunct w:val="0"/>
              <w:autoSpaceDE w:val="0"/>
              <w:autoSpaceDN w:val="0"/>
              <w:bidi w:val="0"/>
              <w:adjustRightInd/>
              <w:snapToGrid/>
              <w:spacing w:before="20" w:line="350" w:lineRule="exact"/>
              <w:ind w:right="-45"/>
              <w:jc w:val="both"/>
              <w:textAlignment w:val="auto"/>
              <w:rPr>
                <w:rFonts w:hint="eastAsia" w:ascii="宋体" w:hAnsi="宋体" w:eastAsia="宋体" w:cs="宋体"/>
                <w:sz w:val="21"/>
                <w:szCs w:val="21"/>
                <w:lang w:eastAsia="zh-CN"/>
              </w:rPr>
            </w:pPr>
            <w:r>
              <w:rPr>
                <w:rFonts w:hint="eastAsia" w:ascii="宋体" w:hAnsi="宋体" w:eastAsia="宋体" w:cs="宋体"/>
                <w:sz w:val="21"/>
                <w:szCs w:val="21"/>
              </w:rPr>
              <w:t>约担保的形式：银行转账</w:t>
            </w:r>
            <w:r>
              <w:rPr>
                <w:rFonts w:hint="eastAsia" w:ascii="宋体" w:hAnsi="宋体" w:eastAsia="宋体" w:cs="宋体"/>
                <w:sz w:val="21"/>
                <w:szCs w:val="21"/>
                <w:lang w:eastAsia="zh-CN"/>
              </w:rPr>
              <w:t>或现金缴纳</w:t>
            </w:r>
          </w:p>
          <w:p>
            <w:pPr>
              <w:pStyle w:val="25"/>
              <w:keepNext w:val="0"/>
              <w:keepLines w:val="0"/>
              <w:pageBreakBefore w:val="0"/>
              <w:widowControl w:val="0"/>
              <w:kinsoku/>
              <w:wordWrap/>
              <w:overflowPunct/>
              <w:topLinePunct w:val="0"/>
              <w:autoSpaceDE w:val="0"/>
              <w:autoSpaceDN w:val="0"/>
              <w:bidi w:val="0"/>
              <w:adjustRightInd/>
              <w:snapToGrid/>
              <w:spacing w:before="20" w:line="350" w:lineRule="exact"/>
              <w:ind w:right="-45"/>
              <w:jc w:val="both"/>
              <w:textAlignment w:val="auto"/>
              <w:rPr>
                <w:rFonts w:hint="eastAsia" w:ascii="宋体" w:hAnsi="宋体" w:eastAsia="宋体" w:cs="宋体"/>
                <w:sz w:val="21"/>
                <w:szCs w:val="21"/>
              </w:rPr>
            </w:pPr>
            <w:r>
              <w:rPr>
                <w:rFonts w:hint="eastAsia" w:ascii="宋体" w:hAnsi="宋体" w:eastAsia="宋体" w:cs="宋体"/>
                <w:sz w:val="21"/>
                <w:szCs w:val="21"/>
              </w:rPr>
              <w:t>履约保证金金额：中标价×10%</w:t>
            </w:r>
          </w:p>
          <w:p>
            <w:pPr>
              <w:pStyle w:val="25"/>
              <w:keepNext w:val="0"/>
              <w:keepLines w:val="0"/>
              <w:pageBreakBefore w:val="0"/>
              <w:widowControl w:val="0"/>
              <w:kinsoku/>
              <w:wordWrap/>
              <w:overflowPunct/>
              <w:topLinePunct w:val="0"/>
              <w:autoSpaceDE w:val="0"/>
              <w:autoSpaceDN w:val="0"/>
              <w:bidi w:val="0"/>
              <w:adjustRightInd/>
              <w:snapToGrid/>
              <w:spacing w:before="20" w:line="350" w:lineRule="exact"/>
              <w:ind w:right="-45"/>
              <w:jc w:val="both"/>
              <w:textAlignment w:val="auto"/>
              <w:rPr>
                <w:rFonts w:hint="eastAsia" w:ascii="宋体" w:hAnsi="宋体" w:eastAsia="宋体" w:cs="宋体"/>
                <w:sz w:val="21"/>
                <w:szCs w:val="21"/>
              </w:rPr>
            </w:pPr>
            <w:r>
              <w:rPr>
                <w:rFonts w:hint="eastAsia" w:ascii="宋体" w:hAnsi="宋体" w:eastAsia="宋体" w:cs="宋体"/>
                <w:sz w:val="21"/>
                <w:szCs w:val="21"/>
              </w:rPr>
              <w:t>收款单位：另行约定</w:t>
            </w:r>
          </w:p>
          <w:p>
            <w:pPr>
              <w:pStyle w:val="25"/>
              <w:keepNext w:val="0"/>
              <w:keepLines w:val="0"/>
              <w:pageBreakBefore w:val="0"/>
              <w:widowControl w:val="0"/>
              <w:kinsoku/>
              <w:wordWrap/>
              <w:overflowPunct/>
              <w:topLinePunct w:val="0"/>
              <w:autoSpaceDE w:val="0"/>
              <w:autoSpaceDN w:val="0"/>
              <w:bidi w:val="0"/>
              <w:adjustRightInd/>
              <w:snapToGrid/>
              <w:spacing w:before="20" w:line="350" w:lineRule="exact"/>
              <w:ind w:right="-45"/>
              <w:jc w:val="both"/>
              <w:textAlignment w:val="auto"/>
              <w:rPr>
                <w:rFonts w:hint="eastAsia" w:ascii="宋体" w:hAnsi="宋体" w:eastAsia="宋体" w:cs="宋体"/>
                <w:sz w:val="21"/>
                <w:szCs w:val="21"/>
              </w:rPr>
            </w:pPr>
            <w:r>
              <w:rPr>
                <w:rFonts w:hint="eastAsia" w:ascii="宋体" w:hAnsi="宋体" w:eastAsia="宋体" w:cs="宋体"/>
                <w:sz w:val="21"/>
                <w:szCs w:val="21"/>
              </w:rPr>
              <w:t>开户银行：另行约定</w:t>
            </w:r>
          </w:p>
          <w:p>
            <w:pPr>
              <w:pStyle w:val="25"/>
              <w:keepNext w:val="0"/>
              <w:keepLines w:val="0"/>
              <w:pageBreakBefore w:val="0"/>
              <w:widowControl w:val="0"/>
              <w:kinsoku/>
              <w:wordWrap/>
              <w:overflowPunct/>
              <w:topLinePunct w:val="0"/>
              <w:autoSpaceDE w:val="0"/>
              <w:autoSpaceDN w:val="0"/>
              <w:bidi w:val="0"/>
              <w:adjustRightInd/>
              <w:snapToGrid/>
              <w:spacing w:before="20" w:line="350" w:lineRule="exact"/>
              <w:ind w:right="-45"/>
              <w:jc w:val="both"/>
              <w:textAlignment w:val="auto"/>
              <w:rPr>
                <w:rFonts w:hint="eastAsia" w:ascii="宋体" w:hAnsi="宋体" w:eastAsia="宋体" w:cs="宋体"/>
                <w:sz w:val="21"/>
                <w:szCs w:val="21"/>
              </w:rPr>
            </w:pPr>
            <w:r>
              <w:rPr>
                <w:rFonts w:hint="eastAsia" w:ascii="宋体" w:hAnsi="宋体" w:eastAsia="宋体" w:cs="宋体"/>
                <w:sz w:val="21"/>
                <w:szCs w:val="21"/>
              </w:rPr>
              <w:t>银行帐号：另行约定</w:t>
            </w:r>
          </w:p>
          <w:p>
            <w:pPr>
              <w:pStyle w:val="25"/>
              <w:keepNext w:val="0"/>
              <w:keepLines w:val="0"/>
              <w:pageBreakBefore w:val="0"/>
              <w:widowControl w:val="0"/>
              <w:kinsoku/>
              <w:wordWrap/>
              <w:overflowPunct/>
              <w:topLinePunct w:val="0"/>
              <w:autoSpaceDE w:val="0"/>
              <w:autoSpaceDN w:val="0"/>
              <w:bidi w:val="0"/>
              <w:adjustRightInd/>
              <w:snapToGrid/>
              <w:spacing w:before="20" w:line="350" w:lineRule="exact"/>
              <w:ind w:right="-45"/>
              <w:jc w:val="both"/>
              <w:textAlignment w:val="auto"/>
              <w:rPr>
                <w:rFonts w:hint="eastAsia" w:ascii="宋体" w:hAnsi="宋体" w:eastAsia="宋体" w:cs="宋体"/>
                <w:sz w:val="21"/>
                <w:szCs w:val="21"/>
              </w:rPr>
            </w:pPr>
            <w:r>
              <w:rPr>
                <w:rFonts w:hint="eastAsia" w:ascii="宋体" w:hAnsi="宋体" w:eastAsia="宋体" w:cs="宋体"/>
                <w:sz w:val="21"/>
                <w:szCs w:val="21"/>
              </w:rPr>
              <w:t>缴纳时间：合同签订前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632" w:hRule="atLeast"/>
        </w:trPr>
        <w:tc>
          <w:tcPr>
            <w:tcW w:w="715" w:type="dxa"/>
            <w:vAlign w:val="center"/>
          </w:tcPr>
          <w:p>
            <w:pPr>
              <w:pStyle w:val="25"/>
              <w:spacing w:before="140"/>
              <w:ind w:right="25"/>
              <w:jc w:val="center"/>
              <w:rPr>
                <w:rFonts w:hint="default" w:cs="宋体"/>
                <w:sz w:val="21"/>
                <w:szCs w:val="21"/>
                <w:lang w:val="en-US" w:eastAsia="zh-CN"/>
              </w:rPr>
            </w:pPr>
            <w:r>
              <w:rPr>
                <w:rFonts w:hint="eastAsia" w:cs="宋体"/>
                <w:sz w:val="21"/>
                <w:szCs w:val="21"/>
                <w:lang w:val="en-US" w:eastAsia="zh-CN"/>
              </w:rPr>
              <w:t>12</w:t>
            </w:r>
          </w:p>
        </w:tc>
        <w:tc>
          <w:tcPr>
            <w:tcW w:w="1763" w:type="dxa"/>
            <w:vAlign w:val="center"/>
          </w:tcPr>
          <w:p>
            <w:pPr>
              <w:pStyle w:val="25"/>
              <w:jc w:val="center"/>
              <w:rPr>
                <w:rFonts w:hint="default" w:ascii="宋体" w:hAnsi="宋体" w:eastAsia="宋体" w:cs="宋体"/>
                <w:sz w:val="21"/>
                <w:szCs w:val="21"/>
                <w:lang w:val="en-US" w:eastAsia="zh-CN"/>
              </w:rPr>
            </w:pPr>
            <w:r>
              <w:rPr>
                <w:rFonts w:hint="eastAsia" w:cs="宋体"/>
                <w:sz w:val="21"/>
                <w:szCs w:val="21"/>
                <w:highlight w:val="none"/>
                <w:lang w:val="en-US" w:eastAsia="zh-CN"/>
              </w:rPr>
              <w:t>投标有效期</w:t>
            </w:r>
          </w:p>
        </w:tc>
        <w:tc>
          <w:tcPr>
            <w:tcW w:w="8141" w:type="dxa"/>
            <w:vAlign w:val="center"/>
          </w:tcPr>
          <w:p>
            <w:pPr>
              <w:pStyle w:val="25"/>
              <w:keepNext w:val="0"/>
              <w:keepLines w:val="0"/>
              <w:pageBreakBefore w:val="0"/>
              <w:widowControl w:val="0"/>
              <w:kinsoku/>
              <w:wordWrap/>
              <w:overflowPunct/>
              <w:topLinePunct w:val="0"/>
              <w:autoSpaceDE w:val="0"/>
              <w:autoSpaceDN w:val="0"/>
              <w:bidi w:val="0"/>
              <w:adjustRightInd/>
              <w:snapToGrid/>
              <w:spacing w:before="20" w:line="400" w:lineRule="exact"/>
              <w:ind w:right="-45"/>
              <w:jc w:val="both"/>
              <w:textAlignment w:val="auto"/>
              <w:rPr>
                <w:rFonts w:hint="eastAsia" w:ascii="宋体" w:hAnsi="宋体" w:eastAsia="宋体" w:cs="宋体"/>
                <w:sz w:val="21"/>
                <w:szCs w:val="21"/>
              </w:rPr>
            </w:pPr>
            <w:r>
              <w:rPr>
                <w:rFonts w:hint="eastAsia" w:ascii="宋体" w:hAnsi="宋体" w:eastAsia="宋体" w:cs="宋体"/>
                <w:sz w:val="21"/>
                <w:szCs w:val="21"/>
              </w:rPr>
              <w:t>投标有效期为60日历天（从投标截止之日算起）。在此期限内，凡符合本交易文件要求的投标文件均保持有效。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632" w:hRule="atLeast"/>
        </w:trPr>
        <w:tc>
          <w:tcPr>
            <w:tcW w:w="715" w:type="dxa"/>
            <w:vAlign w:val="center"/>
          </w:tcPr>
          <w:p>
            <w:pPr>
              <w:pStyle w:val="25"/>
              <w:spacing w:before="140"/>
              <w:ind w:right="25"/>
              <w:jc w:val="center"/>
              <w:rPr>
                <w:rFonts w:hint="default" w:ascii="宋体" w:hAnsi="宋体" w:eastAsia="宋体" w:cs="宋体"/>
                <w:sz w:val="21"/>
                <w:szCs w:val="21"/>
                <w:lang w:val="en-US" w:eastAsia="zh-CN"/>
              </w:rPr>
            </w:pPr>
            <w:r>
              <w:rPr>
                <w:rFonts w:hint="eastAsia" w:cs="宋体"/>
                <w:sz w:val="21"/>
                <w:szCs w:val="21"/>
                <w:lang w:val="en-US" w:eastAsia="zh-CN"/>
              </w:rPr>
              <w:t>13</w:t>
            </w:r>
          </w:p>
        </w:tc>
        <w:tc>
          <w:tcPr>
            <w:tcW w:w="1763" w:type="dxa"/>
            <w:vAlign w:val="center"/>
          </w:tcPr>
          <w:p>
            <w:pPr>
              <w:pStyle w:val="25"/>
              <w:jc w:val="center"/>
              <w:rPr>
                <w:rFonts w:hint="eastAsia" w:ascii="宋体" w:hAnsi="宋体" w:eastAsia="宋体" w:cs="宋体"/>
                <w:sz w:val="21"/>
                <w:szCs w:val="21"/>
              </w:rPr>
            </w:pPr>
            <w:r>
              <w:rPr>
                <w:rFonts w:hint="eastAsia" w:ascii="宋体" w:hAnsi="宋体" w:eastAsia="宋体" w:cs="宋体"/>
                <w:sz w:val="21"/>
                <w:szCs w:val="21"/>
              </w:rPr>
              <w:t>投标</w:t>
            </w:r>
            <w:r>
              <w:rPr>
                <w:rFonts w:hint="eastAsia" w:cs="宋体"/>
                <w:sz w:val="21"/>
                <w:szCs w:val="21"/>
                <w:lang w:val="en-US" w:eastAsia="zh-CN"/>
              </w:rPr>
              <w:t>文件递交</w:t>
            </w:r>
            <w:r>
              <w:rPr>
                <w:rFonts w:hint="eastAsia" w:ascii="宋体" w:hAnsi="宋体" w:eastAsia="宋体" w:cs="宋体"/>
                <w:sz w:val="21"/>
                <w:szCs w:val="21"/>
              </w:rPr>
              <w:t>截止时间及地点</w:t>
            </w:r>
          </w:p>
        </w:tc>
        <w:tc>
          <w:tcPr>
            <w:tcW w:w="8141" w:type="dxa"/>
            <w:vAlign w:val="center"/>
          </w:tcPr>
          <w:p>
            <w:pPr>
              <w:pStyle w:val="25"/>
              <w:keepNext w:val="0"/>
              <w:keepLines w:val="0"/>
              <w:pageBreakBefore w:val="0"/>
              <w:widowControl w:val="0"/>
              <w:kinsoku/>
              <w:wordWrap/>
              <w:overflowPunct/>
              <w:topLinePunct w:val="0"/>
              <w:autoSpaceDE w:val="0"/>
              <w:autoSpaceDN w:val="0"/>
              <w:bidi w:val="0"/>
              <w:adjustRightInd/>
              <w:snapToGrid/>
              <w:spacing w:before="20" w:line="400" w:lineRule="exact"/>
              <w:ind w:right="-45"/>
              <w:jc w:val="both"/>
              <w:textAlignment w:val="auto"/>
              <w:rPr>
                <w:rFonts w:hint="eastAsia" w:ascii="宋体" w:hAnsi="宋体" w:eastAsia="宋体" w:cs="宋体"/>
                <w:color w:val="auto"/>
                <w:sz w:val="21"/>
                <w:szCs w:val="21"/>
                <w:highlight w:val="none"/>
              </w:rPr>
            </w:pPr>
            <w:r>
              <w:rPr>
                <w:rFonts w:hint="eastAsia" w:ascii="宋体" w:hAnsi="宋体" w:eastAsia="宋体" w:cs="宋体"/>
                <w:sz w:val="21"/>
                <w:szCs w:val="21"/>
              </w:rPr>
              <w:t>投标</w:t>
            </w:r>
            <w:r>
              <w:rPr>
                <w:rFonts w:hint="eastAsia" w:cs="宋体"/>
                <w:sz w:val="21"/>
                <w:szCs w:val="21"/>
                <w:lang w:val="en-US" w:eastAsia="zh-CN"/>
              </w:rPr>
              <w:t>文件递交</w:t>
            </w:r>
            <w:r>
              <w:rPr>
                <w:rFonts w:hint="eastAsia" w:ascii="宋体" w:hAnsi="宋体" w:eastAsia="宋体" w:cs="宋体"/>
                <w:sz w:val="21"/>
                <w:szCs w:val="21"/>
              </w:rPr>
              <w:t>截止时间</w:t>
            </w:r>
            <w:r>
              <w:rPr>
                <w:rFonts w:hint="eastAsia" w:cs="宋体"/>
                <w:sz w:val="21"/>
                <w:szCs w:val="21"/>
                <w:lang w:eastAsia="zh-CN"/>
              </w:rPr>
              <w:t>：2020</w:t>
            </w:r>
            <w:r>
              <w:rPr>
                <w:rFonts w:hint="eastAsia" w:ascii="宋体" w:hAnsi="宋体" w:eastAsia="宋体" w:cs="宋体"/>
                <w:sz w:val="21"/>
                <w:szCs w:val="21"/>
              </w:rPr>
              <w:t xml:space="preserve">年 </w:t>
            </w:r>
            <w:r>
              <w:rPr>
                <w:rFonts w:hint="eastAsia" w:cs="宋体"/>
                <w:color w:val="auto"/>
                <w:sz w:val="21"/>
                <w:szCs w:val="21"/>
                <w:highlight w:val="none"/>
                <w:lang w:val="en-US" w:eastAsia="zh-CN"/>
              </w:rPr>
              <w:t>05</w:t>
            </w:r>
            <w:r>
              <w:rPr>
                <w:rFonts w:hint="eastAsia" w:ascii="宋体" w:hAnsi="宋体" w:eastAsia="宋体" w:cs="宋体"/>
                <w:color w:val="auto"/>
                <w:sz w:val="21"/>
                <w:szCs w:val="21"/>
                <w:highlight w:val="none"/>
              </w:rPr>
              <w:t>月</w:t>
            </w:r>
            <w:r>
              <w:rPr>
                <w:rFonts w:hint="eastAsia" w:cs="宋体"/>
                <w:color w:val="auto"/>
                <w:sz w:val="21"/>
                <w:szCs w:val="21"/>
                <w:highlight w:val="none"/>
                <w:lang w:val="en-US" w:eastAsia="zh-CN"/>
              </w:rPr>
              <w:t>06</w:t>
            </w:r>
            <w:r>
              <w:rPr>
                <w:rFonts w:hint="eastAsia" w:ascii="宋体" w:hAnsi="宋体" w:eastAsia="宋体" w:cs="宋体"/>
                <w:color w:val="auto"/>
                <w:sz w:val="21"/>
                <w:szCs w:val="21"/>
                <w:highlight w:val="none"/>
              </w:rPr>
              <w:t>日</w:t>
            </w:r>
            <w:r>
              <w:rPr>
                <w:rFonts w:hint="eastAsia"/>
                <w:color w:val="auto"/>
                <w:w w:val="105"/>
                <w:sz w:val="21"/>
                <w:szCs w:val="21"/>
                <w:highlight w:val="none"/>
                <w:u w:val="none" w:color="auto"/>
                <w:lang w:val="en-US" w:eastAsia="zh-CN"/>
              </w:rPr>
              <w:t>09</w:t>
            </w:r>
            <w:r>
              <w:rPr>
                <w:color w:val="auto"/>
                <w:w w:val="105"/>
                <w:sz w:val="21"/>
                <w:szCs w:val="21"/>
                <w:highlight w:val="none"/>
                <w:u w:val="none" w:color="auto"/>
              </w:rPr>
              <w:t>时</w:t>
            </w:r>
            <w:r>
              <w:rPr>
                <w:rFonts w:hint="eastAsia"/>
                <w:color w:val="auto"/>
                <w:w w:val="105"/>
                <w:sz w:val="21"/>
                <w:szCs w:val="21"/>
                <w:highlight w:val="none"/>
                <w:u w:val="none" w:color="auto"/>
                <w:lang w:val="en-US" w:eastAsia="zh-CN"/>
              </w:rPr>
              <w:t>00</w:t>
            </w:r>
            <w:r>
              <w:rPr>
                <w:color w:val="auto"/>
                <w:w w:val="105"/>
                <w:sz w:val="21"/>
                <w:szCs w:val="21"/>
                <w:highlight w:val="none"/>
                <w:u w:val="none" w:color="auto"/>
              </w:rPr>
              <w:t xml:space="preserve"> 分</w:t>
            </w:r>
            <w:r>
              <w:rPr>
                <w:rFonts w:hint="eastAsia" w:ascii="宋体" w:hAnsi="宋体" w:eastAsia="宋体" w:cs="宋体"/>
                <w:color w:val="auto"/>
                <w:sz w:val="21"/>
                <w:szCs w:val="21"/>
                <w:highlight w:val="none"/>
              </w:rPr>
              <w:t>（北京时间）</w:t>
            </w:r>
          </w:p>
          <w:p>
            <w:pPr>
              <w:pStyle w:val="25"/>
              <w:keepNext w:val="0"/>
              <w:keepLines w:val="0"/>
              <w:pageBreakBefore w:val="0"/>
              <w:widowControl w:val="0"/>
              <w:kinsoku/>
              <w:wordWrap/>
              <w:overflowPunct/>
              <w:topLinePunct w:val="0"/>
              <w:autoSpaceDE w:val="0"/>
              <w:autoSpaceDN w:val="0"/>
              <w:bidi w:val="0"/>
              <w:adjustRightInd/>
              <w:snapToGrid/>
              <w:spacing w:before="20" w:line="400" w:lineRule="exact"/>
              <w:ind w:right="-45"/>
              <w:jc w:val="both"/>
              <w:textAlignment w:val="auto"/>
              <w:rPr>
                <w:rFonts w:hint="eastAsia" w:ascii="宋体" w:hAnsi="宋体" w:eastAsia="宋体" w:cs="宋体"/>
                <w:sz w:val="21"/>
                <w:szCs w:val="21"/>
              </w:rPr>
            </w:pPr>
            <w:r>
              <w:rPr>
                <w:rFonts w:hint="eastAsia" w:ascii="宋体" w:hAnsi="宋体" w:eastAsia="宋体" w:cs="宋体"/>
                <w:color w:val="auto"/>
                <w:sz w:val="21"/>
                <w:szCs w:val="21"/>
                <w:highlight w:val="none"/>
              </w:rPr>
              <w:t>地点</w:t>
            </w:r>
            <w:r>
              <w:rPr>
                <w:rFonts w:hint="eastAsia" w:cs="宋体"/>
                <w:color w:val="auto"/>
                <w:sz w:val="21"/>
                <w:szCs w:val="21"/>
                <w:highlight w:val="none"/>
                <w:lang w:val="en-US" w:eastAsia="zh-CN"/>
              </w:rPr>
              <w:t>:</w:t>
            </w:r>
            <w:r>
              <w:rPr>
                <w:rFonts w:hint="eastAsia" w:ascii="宋体" w:hAnsi="宋体" w:eastAsia="宋体" w:cs="宋体"/>
                <w:color w:val="auto"/>
                <w:sz w:val="21"/>
                <w:szCs w:val="21"/>
                <w:highlight w:val="none"/>
              </w:rPr>
              <w:t>滁州市</w:t>
            </w:r>
            <w:r>
              <w:rPr>
                <w:rFonts w:hint="eastAsia" w:ascii="宋体" w:hAnsi="宋体" w:eastAsia="宋体" w:cs="宋体"/>
                <w:color w:val="auto"/>
                <w:sz w:val="21"/>
                <w:szCs w:val="21"/>
                <w:highlight w:val="none"/>
                <w:lang w:eastAsia="zh-CN"/>
              </w:rPr>
              <w:t>琅琊山风景名胜区管理委员会</w:t>
            </w:r>
            <w:r>
              <w:rPr>
                <w:rFonts w:hint="eastAsia" w:ascii="宋体" w:hAnsi="宋体" w:eastAsia="宋体" w:cs="宋体"/>
                <w:color w:val="auto"/>
                <w:sz w:val="21"/>
                <w:szCs w:val="21"/>
                <w:highlight w:val="none"/>
                <w:lang w:val="en-US" w:eastAsia="zh-CN"/>
              </w:rPr>
              <w:t>第一会议室（滁</w:t>
            </w:r>
            <w:r>
              <w:rPr>
                <w:rFonts w:hint="eastAsia" w:ascii="宋体" w:hAnsi="宋体" w:eastAsia="宋体" w:cs="宋体"/>
                <w:sz w:val="21"/>
                <w:szCs w:val="21"/>
                <w:lang w:val="en-US" w:eastAsia="zh-CN"/>
              </w:rPr>
              <w:t>州市琅琊古道30号）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632" w:hRule="atLeast"/>
        </w:trPr>
        <w:tc>
          <w:tcPr>
            <w:tcW w:w="715" w:type="dxa"/>
            <w:vAlign w:val="center"/>
          </w:tcPr>
          <w:p>
            <w:pPr>
              <w:pStyle w:val="25"/>
              <w:spacing w:before="140"/>
              <w:ind w:right="25"/>
              <w:jc w:val="center"/>
              <w:rPr>
                <w:rFonts w:hint="default" w:ascii="宋体" w:hAnsi="宋体" w:eastAsia="宋体" w:cs="宋体"/>
                <w:sz w:val="21"/>
                <w:szCs w:val="21"/>
                <w:lang w:val="en-US" w:eastAsia="zh-CN"/>
              </w:rPr>
            </w:pPr>
            <w:r>
              <w:rPr>
                <w:rFonts w:hint="eastAsia" w:cs="宋体"/>
                <w:sz w:val="21"/>
                <w:szCs w:val="21"/>
                <w:lang w:val="en-US" w:eastAsia="zh-CN"/>
              </w:rPr>
              <w:t>14</w:t>
            </w:r>
          </w:p>
        </w:tc>
        <w:tc>
          <w:tcPr>
            <w:tcW w:w="1763" w:type="dxa"/>
            <w:vAlign w:val="center"/>
          </w:tcPr>
          <w:p>
            <w:pPr>
              <w:pStyle w:val="25"/>
              <w:jc w:val="center"/>
              <w:rPr>
                <w:rFonts w:hint="eastAsia" w:ascii="宋体" w:hAnsi="宋体" w:eastAsia="宋体" w:cs="宋体"/>
                <w:sz w:val="21"/>
                <w:szCs w:val="21"/>
              </w:rPr>
            </w:pPr>
            <w:r>
              <w:rPr>
                <w:rFonts w:hint="eastAsia" w:ascii="宋体" w:hAnsi="宋体" w:eastAsia="宋体" w:cs="宋体"/>
                <w:sz w:val="21"/>
                <w:szCs w:val="21"/>
              </w:rPr>
              <w:t>开标时间及地点</w:t>
            </w:r>
          </w:p>
        </w:tc>
        <w:tc>
          <w:tcPr>
            <w:tcW w:w="8141" w:type="dxa"/>
            <w:vAlign w:val="center"/>
          </w:tcPr>
          <w:p>
            <w:pPr>
              <w:pStyle w:val="25"/>
              <w:spacing w:before="20"/>
              <w:ind w:right="-45"/>
              <w:jc w:val="both"/>
              <w:rPr>
                <w:rFonts w:hint="eastAsia" w:eastAsia="宋体" w:cs="宋体"/>
                <w:sz w:val="21"/>
                <w:szCs w:val="21"/>
                <w:lang w:val="en-US" w:eastAsia="zh-CN"/>
              </w:rPr>
            </w:pPr>
            <w:r>
              <w:rPr>
                <w:rFonts w:hint="eastAsia" w:ascii="宋体" w:hAnsi="宋体" w:eastAsia="宋体" w:cs="宋体"/>
                <w:sz w:val="21"/>
                <w:szCs w:val="21"/>
              </w:rPr>
              <w:t>开标时间</w:t>
            </w:r>
            <w:r>
              <w:rPr>
                <w:rFonts w:hint="eastAsia" w:cs="宋体"/>
                <w:sz w:val="21"/>
                <w:szCs w:val="21"/>
                <w:lang w:val="en-US" w:eastAsia="zh-CN"/>
              </w:rPr>
              <w:t>:与</w:t>
            </w:r>
            <w:r>
              <w:rPr>
                <w:rFonts w:hint="eastAsia" w:ascii="宋体" w:hAnsi="宋体" w:eastAsia="宋体" w:cs="宋体"/>
                <w:sz w:val="21"/>
                <w:szCs w:val="21"/>
              </w:rPr>
              <w:t>投标</w:t>
            </w:r>
            <w:r>
              <w:rPr>
                <w:rFonts w:hint="eastAsia" w:cs="宋体"/>
                <w:sz w:val="21"/>
                <w:szCs w:val="21"/>
                <w:lang w:val="en-US" w:eastAsia="zh-CN"/>
              </w:rPr>
              <w:t>文件递交</w:t>
            </w:r>
            <w:r>
              <w:rPr>
                <w:rFonts w:hint="eastAsia" w:ascii="宋体" w:hAnsi="宋体" w:eastAsia="宋体" w:cs="宋体"/>
                <w:sz w:val="21"/>
                <w:szCs w:val="21"/>
              </w:rPr>
              <w:t>截止时间</w:t>
            </w:r>
            <w:r>
              <w:rPr>
                <w:rFonts w:hint="eastAsia" w:cs="宋体"/>
                <w:sz w:val="21"/>
                <w:szCs w:val="21"/>
                <w:lang w:val="en-US" w:eastAsia="zh-CN"/>
              </w:rPr>
              <w:t>一致</w:t>
            </w:r>
          </w:p>
          <w:p>
            <w:pPr>
              <w:pStyle w:val="25"/>
              <w:spacing w:before="20"/>
              <w:ind w:right="-45"/>
              <w:jc w:val="both"/>
              <w:rPr>
                <w:rFonts w:hint="eastAsia" w:ascii="宋体" w:hAnsi="宋体" w:eastAsia="宋体" w:cs="宋体"/>
                <w:sz w:val="21"/>
                <w:szCs w:val="21"/>
                <w:lang w:eastAsia="zh-CN"/>
              </w:rPr>
            </w:pPr>
            <w:r>
              <w:rPr>
                <w:rFonts w:hint="eastAsia" w:cs="宋体"/>
                <w:sz w:val="21"/>
                <w:szCs w:val="21"/>
                <w:lang w:val="en-US" w:eastAsia="zh-CN"/>
              </w:rPr>
              <w:t>开标</w:t>
            </w:r>
            <w:r>
              <w:rPr>
                <w:rFonts w:hint="eastAsia" w:ascii="宋体" w:hAnsi="宋体" w:eastAsia="宋体" w:cs="宋体"/>
                <w:sz w:val="21"/>
                <w:szCs w:val="21"/>
              </w:rPr>
              <w:t>地点</w:t>
            </w:r>
            <w:r>
              <w:rPr>
                <w:rFonts w:hint="eastAsia" w:cs="宋体"/>
                <w:sz w:val="21"/>
                <w:szCs w:val="21"/>
                <w:lang w:eastAsia="zh-CN"/>
              </w:rPr>
              <w:t>：</w:t>
            </w:r>
            <w:r>
              <w:rPr>
                <w:rFonts w:hint="eastAsia" w:cs="宋体"/>
                <w:sz w:val="21"/>
                <w:szCs w:val="21"/>
                <w:lang w:val="en-US" w:eastAsia="zh-CN"/>
              </w:rPr>
              <w:t>与</w:t>
            </w:r>
            <w:r>
              <w:rPr>
                <w:rFonts w:hint="eastAsia" w:ascii="宋体" w:hAnsi="宋体" w:eastAsia="宋体" w:cs="宋体"/>
                <w:sz w:val="21"/>
                <w:szCs w:val="21"/>
              </w:rPr>
              <w:t>投标</w:t>
            </w:r>
            <w:r>
              <w:rPr>
                <w:rFonts w:hint="eastAsia" w:cs="宋体"/>
                <w:sz w:val="21"/>
                <w:szCs w:val="21"/>
                <w:lang w:val="en-US" w:eastAsia="zh-CN"/>
              </w:rPr>
              <w:t>文件递交地点一致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632" w:hRule="atLeast"/>
        </w:trPr>
        <w:tc>
          <w:tcPr>
            <w:tcW w:w="715" w:type="dxa"/>
            <w:vAlign w:val="center"/>
          </w:tcPr>
          <w:p>
            <w:pPr>
              <w:pStyle w:val="25"/>
              <w:spacing w:before="140"/>
              <w:ind w:right="25"/>
              <w:jc w:val="center"/>
              <w:rPr>
                <w:rFonts w:hint="default" w:ascii="宋体" w:hAnsi="宋体" w:eastAsia="宋体" w:cs="宋体"/>
                <w:sz w:val="21"/>
                <w:szCs w:val="21"/>
                <w:lang w:val="en-US" w:eastAsia="zh-CN"/>
              </w:rPr>
            </w:pPr>
            <w:r>
              <w:rPr>
                <w:rFonts w:hint="eastAsia" w:cs="宋体"/>
                <w:sz w:val="21"/>
                <w:szCs w:val="21"/>
                <w:lang w:val="en-US" w:eastAsia="zh-CN"/>
              </w:rPr>
              <w:t>15</w:t>
            </w:r>
          </w:p>
        </w:tc>
        <w:tc>
          <w:tcPr>
            <w:tcW w:w="1763" w:type="dxa"/>
            <w:vAlign w:val="center"/>
          </w:tcPr>
          <w:p>
            <w:pPr>
              <w:pStyle w:val="25"/>
              <w:jc w:val="center"/>
              <w:rPr>
                <w:rFonts w:hint="eastAsia" w:ascii="宋体" w:hAnsi="宋体" w:eastAsia="宋体" w:cs="宋体"/>
                <w:sz w:val="21"/>
                <w:szCs w:val="21"/>
              </w:rPr>
            </w:pPr>
            <w:r>
              <w:rPr>
                <w:rFonts w:hint="eastAsia" w:ascii="宋体" w:hAnsi="宋体" w:eastAsia="宋体" w:cs="宋体"/>
                <w:sz w:val="21"/>
                <w:szCs w:val="21"/>
              </w:rPr>
              <w:t>监理酬金</w:t>
            </w:r>
          </w:p>
        </w:tc>
        <w:tc>
          <w:tcPr>
            <w:tcW w:w="8141" w:type="dxa"/>
            <w:vAlign w:val="center"/>
          </w:tcPr>
          <w:p>
            <w:pPr>
              <w:pStyle w:val="25"/>
              <w:spacing w:before="20"/>
              <w:ind w:right="-45"/>
              <w:jc w:val="both"/>
              <w:rPr>
                <w:rFonts w:hint="eastAsia" w:cs="宋体"/>
                <w:sz w:val="21"/>
                <w:szCs w:val="21"/>
                <w:lang w:val="en-US" w:eastAsia="zh-CN"/>
              </w:rPr>
            </w:pPr>
            <w:r>
              <w:rPr>
                <w:rFonts w:hint="eastAsia" w:cs="宋体"/>
                <w:sz w:val="21"/>
                <w:szCs w:val="21"/>
                <w:highlight w:val="none"/>
                <w:lang w:val="en-US" w:eastAsia="zh-CN"/>
              </w:rPr>
              <w:t>监理费用=本工程施工审计结算价×中标费率。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632" w:hRule="atLeast"/>
        </w:trPr>
        <w:tc>
          <w:tcPr>
            <w:tcW w:w="715" w:type="dxa"/>
            <w:vAlign w:val="center"/>
          </w:tcPr>
          <w:p>
            <w:pPr>
              <w:pStyle w:val="25"/>
              <w:spacing w:before="140"/>
              <w:ind w:right="25"/>
              <w:jc w:val="center"/>
              <w:rPr>
                <w:rFonts w:hint="default" w:cs="宋体"/>
                <w:sz w:val="21"/>
                <w:szCs w:val="21"/>
                <w:lang w:val="en-US" w:eastAsia="zh-CN"/>
              </w:rPr>
            </w:pPr>
            <w:r>
              <w:rPr>
                <w:rFonts w:hint="eastAsia" w:cs="宋体"/>
                <w:sz w:val="21"/>
                <w:szCs w:val="21"/>
                <w:lang w:val="en-US" w:eastAsia="zh-CN"/>
              </w:rPr>
              <w:t>16</w:t>
            </w:r>
          </w:p>
        </w:tc>
        <w:tc>
          <w:tcPr>
            <w:tcW w:w="1763" w:type="dxa"/>
            <w:vAlign w:val="center"/>
          </w:tcPr>
          <w:p>
            <w:pPr>
              <w:pStyle w:val="25"/>
              <w:jc w:val="center"/>
              <w:rPr>
                <w:rFonts w:hint="eastAsia" w:cs="宋体"/>
                <w:sz w:val="21"/>
                <w:szCs w:val="21"/>
                <w:lang w:eastAsia="zh-CN"/>
              </w:rPr>
            </w:pPr>
            <w:r>
              <w:rPr>
                <w:rFonts w:hint="eastAsia" w:ascii="宋体" w:hAnsi="宋体" w:eastAsia="宋体" w:cs="宋体"/>
                <w:sz w:val="21"/>
                <w:szCs w:val="21"/>
              </w:rPr>
              <w:t>投标</w:t>
            </w:r>
            <w:r>
              <w:rPr>
                <w:rFonts w:hint="eastAsia" w:cs="宋体"/>
                <w:sz w:val="21"/>
                <w:szCs w:val="21"/>
                <w:lang w:eastAsia="zh-CN"/>
              </w:rPr>
              <w:t>费率</w:t>
            </w:r>
          </w:p>
          <w:p>
            <w:pPr>
              <w:pStyle w:val="25"/>
              <w:jc w:val="center"/>
              <w:rPr>
                <w:rFonts w:hint="eastAsia" w:ascii="宋体" w:hAnsi="宋体" w:eastAsia="宋体" w:cs="宋体"/>
                <w:sz w:val="21"/>
                <w:szCs w:val="21"/>
                <w:lang w:eastAsia="zh-CN"/>
              </w:rPr>
            </w:pPr>
            <w:r>
              <w:rPr>
                <w:rFonts w:hint="eastAsia" w:cs="宋体"/>
                <w:sz w:val="21"/>
                <w:szCs w:val="21"/>
                <w:lang w:eastAsia="zh-CN"/>
              </w:rPr>
              <w:t>最高限价</w:t>
            </w:r>
          </w:p>
        </w:tc>
        <w:tc>
          <w:tcPr>
            <w:tcW w:w="8141" w:type="dxa"/>
            <w:vAlign w:val="center"/>
          </w:tcPr>
          <w:p>
            <w:pPr>
              <w:pStyle w:val="25"/>
              <w:spacing w:before="20"/>
              <w:ind w:right="-45"/>
              <w:jc w:val="both"/>
              <w:rPr>
                <w:rFonts w:hint="default" w:cs="宋体"/>
                <w:sz w:val="21"/>
                <w:szCs w:val="21"/>
                <w:lang w:val="en-US" w:eastAsia="zh-CN"/>
              </w:rPr>
            </w:pPr>
            <w:r>
              <w:rPr>
                <w:rFonts w:hint="eastAsia" w:ascii="宋体" w:hAnsi="宋体" w:cs="宋体"/>
                <w:b/>
                <w:color w:val="FF0000"/>
                <w:szCs w:val="21"/>
              </w:rPr>
              <w:t xml:space="preserve"> 本工程监理费率最高限价（费率）为</w:t>
            </w:r>
            <w:r>
              <w:rPr>
                <w:rFonts w:hint="eastAsia" w:cs="宋体"/>
                <w:b/>
                <w:color w:val="FF0000"/>
                <w:szCs w:val="21"/>
                <w:lang w:val="en-US" w:eastAsia="zh-CN"/>
              </w:rPr>
              <w:t xml:space="preserve"> </w:t>
            </w:r>
            <w:r>
              <w:rPr>
                <w:rFonts w:hint="eastAsia" w:ascii="宋体" w:hAnsi="宋体" w:cs="宋体"/>
                <w:b/>
                <w:color w:val="FF0000"/>
                <w:szCs w:val="21"/>
              </w:rPr>
              <w:t>1</w:t>
            </w:r>
            <w:r>
              <w:rPr>
                <w:rFonts w:hint="eastAsia" w:cs="宋体"/>
                <w:b/>
                <w:color w:val="FF0000"/>
                <w:szCs w:val="21"/>
                <w:lang w:val="en-US" w:eastAsia="zh-CN"/>
              </w:rPr>
              <w:t xml:space="preserve"> </w:t>
            </w:r>
            <w:r>
              <w:rPr>
                <w:rFonts w:hint="eastAsia" w:ascii="宋体" w:hAnsi="宋体" w:cs="宋体"/>
                <w:b/>
                <w:color w:val="FF0000"/>
                <w:szCs w:val="21"/>
              </w:rPr>
              <w:t>%，</w:t>
            </w:r>
            <w:r>
              <w:rPr>
                <w:rFonts w:hint="eastAsia" w:ascii="宋体" w:hAnsi="宋体" w:cs="宋体"/>
                <w:b/>
                <w:bCs/>
                <w:color w:val="FF0000"/>
                <w:szCs w:val="21"/>
              </w:rPr>
              <w:t>投标单位所报</w:t>
            </w:r>
            <w:r>
              <w:rPr>
                <w:rFonts w:hint="eastAsia" w:ascii="宋体" w:hAnsi="宋体" w:cs="宋体"/>
                <w:b/>
                <w:color w:val="FF0000"/>
                <w:szCs w:val="21"/>
              </w:rPr>
              <w:t>费率不得高于或等于招标人发布的最高限价（费率），否则按无效标处理。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632" w:hRule="atLeast"/>
        </w:trPr>
        <w:tc>
          <w:tcPr>
            <w:tcW w:w="715" w:type="dxa"/>
            <w:vAlign w:val="center"/>
          </w:tcPr>
          <w:p>
            <w:pPr>
              <w:pStyle w:val="25"/>
              <w:spacing w:before="140"/>
              <w:ind w:right="25"/>
              <w:jc w:val="center"/>
              <w:rPr>
                <w:rFonts w:hint="default" w:cs="宋体"/>
                <w:sz w:val="21"/>
                <w:szCs w:val="21"/>
                <w:lang w:val="en-US" w:eastAsia="zh-CN"/>
              </w:rPr>
            </w:pPr>
            <w:r>
              <w:rPr>
                <w:rFonts w:hint="eastAsia" w:cs="宋体"/>
                <w:sz w:val="21"/>
                <w:szCs w:val="21"/>
                <w:lang w:val="en-US" w:eastAsia="zh-CN"/>
              </w:rPr>
              <w:t>17</w:t>
            </w:r>
          </w:p>
        </w:tc>
        <w:tc>
          <w:tcPr>
            <w:tcW w:w="1763" w:type="dxa"/>
            <w:vAlign w:val="center"/>
          </w:tcPr>
          <w:p>
            <w:pPr>
              <w:pStyle w:val="25"/>
              <w:jc w:val="center"/>
              <w:rPr>
                <w:rFonts w:hint="eastAsia" w:ascii="宋体" w:hAnsi="宋体" w:eastAsia="宋体" w:cs="宋体"/>
                <w:sz w:val="21"/>
                <w:szCs w:val="21"/>
              </w:rPr>
            </w:pPr>
            <w:r>
              <w:rPr>
                <w:rFonts w:hint="eastAsia" w:ascii="宋体" w:hAnsi="宋体" w:eastAsia="宋体" w:cs="宋体"/>
                <w:sz w:val="21"/>
                <w:szCs w:val="21"/>
              </w:rPr>
              <w:t>监理费用的支付</w:t>
            </w:r>
          </w:p>
        </w:tc>
        <w:tc>
          <w:tcPr>
            <w:tcW w:w="8141" w:type="dxa"/>
            <w:vAlign w:val="center"/>
          </w:tcPr>
          <w:p>
            <w:pPr>
              <w:pStyle w:val="25"/>
              <w:spacing w:before="20"/>
              <w:ind w:right="-45"/>
              <w:jc w:val="both"/>
              <w:rPr>
                <w:rFonts w:hint="default" w:cs="宋体"/>
                <w:sz w:val="21"/>
                <w:szCs w:val="21"/>
                <w:lang w:val="en-US" w:eastAsia="zh-CN"/>
              </w:rPr>
            </w:pPr>
            <w:r>
              <w:rPr>
                <w:rFonts w:hint="eastAsia" w:cs="宋体"/>
                <w:sz w:val="21"/>
                <w:szCs w:val="21"/>
                <w:highlight w:val="none"/>
                <w:lang w:val="en-US" w:eastAsia="zh-CN"/>
              </w:rPr>
              <w:t>详见合同条款专用条款内容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632" w:hRule="atLeast"/>
        </w:trPr>
        <w:tc>
          <w:tcPr>
            <w:tcW w:w="715" w:type="dxa"/>
            <w:vAlign w:val="center"/>
          </w:tcPr>
          <w:p>
            <w:pPr>
              <w:pStyle w:val="25"/>
              <w:spacing w:before="140"/>
              <w:ind w:right="25"/>
              <w:jc w:val="center"/>
              <w:rPr>
                <w:rFonts w:hint="default" w:cs="宋体"/>
                <w:sz w:val="21"/>
                <w:szCs w:val="21"/>
                <w:lang w:val="en-US" w:eastAsia="zh-CN"/>
              </w:rPr>
            </w:pPr>
            <w:r>
              <w:rPr>
                <w:rFonts w:hint="eastAsia" w:cs="宋体"/>
                <w:sz w:val="21"/>
                <w:szCs w:val="21"/>
                <w:lang w:val="en-US" w:eastAsia="zh-CN"/>
              </w:rPr>
              <w:t>18</w:t>
            </w:r>
          </w:p>
        </w:tc>
        <w:tc>
          <w:tcPr>
            <w:tcW w:w="1763" w:type="dxa"/>
            <w:vAlign w:val="center"/>
          </w:tcPr>
          <w:p>
            <w:pPr>
              <w:pStyle w:val="25"/>
              <w:jc w:val="center"/>
              <w:rPr>
                <w:rFonts w:hint="eastAsia" w:ascii="宋体" w:hAnsi="宋体" w:eastAsia="宋体" w:cs="宋体"/>
                <w:sz w:val="21"/>
                <w:szCs w:val="21"/>
              </w:rPr>
            </w:pPr>
            <w:r>
              <w:rPr>
                <w:rFonts w:hint="eastAsia" w:ascii="宋体" w:hAnsi="宋体" w:eastAsia="宋体" w:cs="宋体"/>
                <w:sz w:val="21"/>
                <w:szCs w:val="21"/>
              </w:rPr>
              <w:t>招标代理服务费</w:t>
            </w:r>
          </w:p>
        </w:tc>
        <w:tc>
          <w:tcPr>
            <w:tcW w:w="8141" w:type="dxa"/>
            <w:vAlign w:val="center"/>
          </w:tcPr>
          <w:p>
            <w:pPr>
              <w:pStyle w:val="25"/>
              <w:spacing w:before="20"/>
              <w:ind w:right="-45"/>
              <w:jc w:val="both"/>
              <w:rPr>
                <w:rFonts w:hint="eastAsia" w:cs="宋体"/>
                <w:sz w:val="21"/>
                <w:szCs w:val="21"/>
                <w:lang w:val="en-US" w:eastAsia="zh-CN"/>
              </w:rPr>
            </w:pPr>
            <w:r>
              <w:rPr>
                <w:rFonts w:hint="eastAsia" w:cs="宋体"/>
                <w:sz w:val="21"/>
                <w:szCs w:val="21"/>
                <w:highlight w:val="none"/>
                <w:lang w:val="en-US" w:eastAsia="zh-CN"/>
              </w:rPr>
              <w:t>招标代理服务费2000元，由中标单位拿中标通知书支付给代理公司。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632" w:hRule="atLeast"/>
        </w:trPr>
        <w:tc>
          <w:tcPr>
            <w:tcW w:w="715" w:type="dxa"/>
            <w:vAlign w:val="center"/>
          </w:tcPr>
          <w:p>
            <w:pPr>
              <w:pStyle w:val="25"/>
              <w:spacing w:before="140"/>
              <w:ind w:right="25"/>
              <w:jc w:val="center"/>
              <w:rPr>
                <w:rFonts w:hint="default" w:cs="宋体"/>
                <w:sz w:val="21"/>
                <w:szCs w:val="21"/>
                <w:lang w:val="en-US" w:eastAsia="zh-CN"/>
              </w:rPr>
            </w:pPr>
            <w:r>
              <w:rPr>
                <w:rFonts w:hint="eastAsia" w:cs="宋体"/>
                <w:sz w:val="21"/>
                <w:szCs w:val="21"/>
                <w:lang w:val="en-US" w:eastAsia="zh-CN"/>
              </w:rPr>
              <w:t>19</w:t>
            </w:r>
          </w:p>
        </w:tc>
        <w:tc>
          <w:tcPr>
            <w:tcW w:w="1763" w:type="dxa"/>
            <w:vAlign w:val="center"/>
          </w:tcPr>
          <w:p>
            <w:pPr>
              <w:pStyle w:val="25"/>
              <w:jc w:val="center"/>
              <w:rPr>
                <w:rFonts w:hint="eastAsia" w:ascii="宋体" w:hAnsi="宋体" w:eastAsia="宋体" w:cs="宋体"/>
                <w:sz w:val="21"/>
                <w:szCs w:val="21"/>
              </w:rPr>
            </w:pPr>
            <w:r>
              <w:rPr>
                <w:rFonts w:hint="eastAsia" w:ascii="宋体" w:hAnsi="宋体" w:eastAsia="宋体" w:cs="宋体"/>
                <w:sz w:val="21"/>
                <w:szCs w:val="21"/>
                <w:lang w:eastAsia="zh-CN"/>
              </w:rPr>
              <w:t>需说明事项</w:t>
            </w:r>
          </w:p>
        </w:tc>
        <w:tc>
          <w:tcPr>
            <w:tcW w:w="8141" w:type="dxa"/>
            <w:vAlign w:val="center"/>
          </w:tcPr>
          <w:p>
            <w:pPr>
              <w:pStyle w:val="25"/>
              <w:spacing w:before="20"/>
              <w:ind w:right="-45"/>
              <w:jc w:val="both"/>
              <w:rPr>
                <w:rFonts w:hint="eastAsia" w:cs="宋体"/>
                <w:sz w:val="21"/>
                <w:szCs w:val="21"/>
                <w:lang w:val="en-US" w:eastAsia="zh-CN"/>
              </w:rPr>
            </w:pPr>
            <w:r>
              <w:rPr>
                <w:rFonts w:hint="eastAsia" w:cs="宋体"/>
                <w:sz w:val="21"/>
                <w:szCs w:val="21"/>
                <w:lang w:val="en-US" w:eastAsia="zh-CN"/>
              </w:rPr>
              <w:t>1、本交易文件前后条款若有不一致之处，在澄清答疑时又未作出明确规定时，各投标人的投标文件只要满足其中任一条款，均视为对本交易文件的响应。</w:t>
            </w:r>
          </w:p>
          <w:p>
            <w:pPr>
              <w:pStyle w:val="25"/>
              <w:spacing w:before="20"/>
              <w:ind w:right="-45"/>
              <w:jc w:val="both"/>
              <w:rPr>
                <w:rFonts w:hint="eastAsia" w:cs="宋体"/>
                <w:sz w:val="21"/>
                <w:szCs w:val="21"/>
                <w:lang w:val="en-US" w:eastAsia="zh-CN"/>
              </w:rPr>
            </w:pPr>
            <w:r>
              <w:rPr>
                <w:rFonts w:hint="eastAsia" w:cs="宋体"/>
                <w:sz w:val="21"/>
                <w:szCs w:val="21"/>
                <w:lang w:val="en-US" w:eastAsia="zh-CN"/>
              </w:rPr>
              <w:t>2、本项目采用纸质版标书，投标企业是2019年安徽省滁州市琅琊山零星工程监理库已入库企业。</w:t>
            </w:r>
          </w:p>
          <w:p>
            <w:pPr>
              <w:pStyle w:val="25"/>
              <w:spacing w:before="20"/>
              <w:ind w:right="-45"/>
              <w:jc w:val="both"/>
              <w:rPr>
                <w:rFonts w:hint="eastAsia" w:cs="宋体"/>
                <w:sz w:val="21"/>
                <w:szCs w:val="21"/>
                <w:lang w:val="en-US" w:eastAsia="zh-CN"/>
              </w:rPr>
            </w:pPr>
            <w:r>
              <w:rPr>
                <w:rFonts w:hint="eastAsia" w:cs="宋体"/>
                <w:sz w:val="21"/>
                <w:szCs w:val="21"/>
                <w:lang w:val="en-US" w:eastAsia="zh-CN"/>
              </w:rPr>
              <w:t>3、本项目严禁转包，一经发现，招标人将立即与其解除合同，且已经产生的前期所有费用将不予结算。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632" w:hRule="atLeast"/>
        </w:trPr>
        <w:tc>
          <w:tcPr>
            <w:tcW w:w="10619" w:type="dxa"/>
            <w:gridSpan w:val="3"/>
            <w:vAlign w:val="center"/>
          </w:tcPr>
          <w:p>
            <w:pPr>
              <w:keepNext w:val="0"/>
              <w:keepLines w:val="0"/>
              <w:pageBreakBefore w:val="0"/>
              <w:widowControl w:val="0"/>
              <w:kinsoku/>
              <w:wordWrap/>
              <w:overflowPunct/>
              <w:topLinePunct w:val="0"/>
              <w:autoSpaceDE w:val="0"/>
              <w:autoSpaceDN w:val="0"/>
              <w:bidi w:val="0"/>
              <w:adjustRightInd/>
              <w:snapToGrid w:val="0"/>
              <w:spacing w:line="340" w:lineRule="exact"/>
              <w:ind w:right="117" w:rightChars="53"/>
              <w:jc w:val="left"/>
              <w:textAlignment w:val="auto"/>
              <w:rPr>
                <w:rFonts w:hint="eastAsia" w:ascii="宋体" w:hAnsi="宋体" w:cs="宋体"/>
                <w:b w:val="0"/>
                <w:bCs w:val="0"/>
                <w:kern w:val="0"/>
                <w:sz w:val="21"/>
                <w:szCs w:val="21"/>
                <w:highlight w:val="none"/>
              </w:rPr>
            </w:pPr>
            <w:r>
              <w:rPr>
                <w:rFonts w:hint="eastAsia" w:hAnsi="宋体" w:cs="宋体"/>
                <w:b/>
                <w:bCs/>
                <w:kern w:val="0"/>
                <w:sz w:val="21"/>
                <w:szCs w:val="21"/>
                <w:lang w:eastAsia="zh-CN"/>
              </w:rPr>
              <w:t>重要说明</w:t>
            </w:r>
            <w:r>
              <w:rPr>
                <w:rFonts w:hint="eastAsia" w:hAnsi="宋体" w:cs="宋体"/>
                <w:b w:val="0"/>
                <w:bCs w:val="0"/>
                <w:kern w:val="0"/>
                <w:sz w:val="21"/>
                <w:szCs w:val="21"/>
                <w:lang w:eastAsia="zh-CN"/>
              </w:rPr>
              <w:t>：</w:t>
            </w:r>
          </w:p>
          <w:p>
            <w:pPr>
              <w:keepNext w:val="0"/>
              <w:keepLines w:val="0"/>
              <w:pageBreakBefore w:val="0"/>
              <w:widowControl w:val="0"/>
              <w:kinsoku/>
              <w:wordWrap/>
              <w:overflowPunct/>
              <w:topLinePunct w:val="0"/>
              <w:autoSpaceDE w:val="0"/>
              <w:autoSpaceDN w:val="0"/>
              <w:bidi w:val="0"/>
              <w:adjustRightInd/>
              <w:snapToGrid w:val="0"/>
              <w:spacing w:line="340" w:lineRule="exact"/>
              <w:ind w:right="117" w:rightChars="53"/>
              <w:jc w:val="left"/>
              <w:textAlignment w:val="auto"/>
              <w:rPr>
                <w:rFonts w:hint="eastAsia" w:ascii="宋体" w:hAnsi="宋体" w:cs="宋体"/>
                <w:b w:val="0"/>
                <w:bCs w:val="0"/>
                <w:kern w:val="0"/>
                <w:sz w:val="21"/>
                <w:szCs w:val="21"/>
                <w:highlight w:val="none"/>
              </w:rPr>
            </w:pPr>
            <w:r>
              <w:rPr>
                <w:rFonts w:hint="eastAsia" w:ascii="宋体" w:hAnsi="宋体" w:cs="宋体"/>
                <w:b w:val="0"/>
                <w:bCs w:val="0"/>
                <w:kern w:val="0"/>
                <w:sz w:val="21"/>
                <w:szCs w:val="21"/>
                <w:highlight w:val="none"/>
              </w:rPr>
              <w:t>（</w:t>
            </w:r>
            <w:r>
              <w:rPr>
                <w:rFonts w:hint="eastAsia" w:ascii="宋体" w:hAnsi="宋体" w:cs="宋体"/>
                <w:b w:val="0"/>
                <w:bCs w:val="0"/>
                <w:kern w:val="0"/>
                <w:sz w:val="21"/>
                <w:szCs w:val="21"/>
                <w:highlight w:val="none"/>
                <w:lang w:val="en-US" w:eastAsia="zh-CN"/>
              </w:rPr>
              <w:t>1</w:t>
            </w:r>
            <w:r>
              <w:rPr>
                <w:rFonts w:hint="eastAsia" w:ascii="宋体" w:hAnsi="宋体" w:cs="宋体"/>
                <w:b w:val="0"/>
                <w:bCs w:val="0"/>
                <w:kern w:val="0"/>
                <w:sz w:val="21"/>
                <w:szCs w:val="21"/>
                <w:highlight w:val="none"/>
              </w:rPr>
              <w:t>）投标企业被县级（含）以上行业行政主管部门或公共资源交易综合监督管理部门暂停投标资格且开标日在处罚期限内的，不得参加</w:t>
            </w:r>
            <w:r>
              <w:rPr>
                <w:rFonts w:hint="eastAsia" w:ascii="宋体" w:hAnsi="宋体" w:cs="宋体"/>
                <w:b w:val="0"/>
                <w:bCs w:val="0"/>
                <w:kern w:val="0"/>
                <w:sz w:val="21"/>
                <w:szCs w:val="21"/>
                <w:highlight w:val="none"/>
                <w:lang w:eastAsia="zh-CN"/>
              </w:rPr>
              <w:t>本</w:t>
            </w:r>
            <w:r>
              <w:rPr>
                <w:rFonts w:hint="eastAsia" w:ascii="宋体" w:hAnsi="宋体" w:cs="宋体"/>
                <w:b w:val="0"/>
                <w:bCs w:val="0"/>
                <w:kern w:val="0"/>
                <w:sz w:val="21"/>
                <w:szCs w:val="21"/>
                <w:highlight w:val="none"/>
              </w:rPr>
              <w:t>项目招投标活动，若中标取消中标资格；</w:t>
            </w:r>
          </w:p>
          <w:p>
            <w:pPr>
              <w:keepNext w:val="0"/>
              <w:keepLines w:val="0"/>
              <w:pageBreakBefore w:val="0"/>
              <w:widowControl w:val="0"/>
              <w:kinsoku/>
              <w:wordWrap/>
              <w:overflowPunct/>
              <w:topLinePunct w:val="0"/>
              <w:autoSpaceDE w:val="0"/>
              <w:autoSpaceDN w:val="0"/>
              <w:bidi w:val="0"/>
              <w:adjustRightInd/>
              <w:snapToGrid w:val="0"/>
              <w:spacing w:line="340" w:lineRule="exact"/>
              <w:ind w:right="117" w:rightChars="53"/>
              <w:jc w:val="left"/>
              <w:textAlignment w:val="auto"/>
              <w:rPr>
                <w:rFonts w:hint="eastAsia" w:ascii="宋体" w:hAnsi="宋体" w:cs="宋体"/>
                <w:b w:val="0"/>
                <w:bCs w:val="0"/>
                <w:kern w:val="0"/>
                <w:sz w:val="21"/>
                <w:szCs w:val="21"/>
                <w:highlight w:val="none"/>
              </w:rPr>
            </w:pPr>
            <w:r>
              <w:rPr>
                <w:rFonts w:hint="eastAsia" w:ascii="宋体" w:hAnsi="宋体" w:cs="宋体"/>
                <w:b w:val="0"/>
                <w:bCs w:val="0"/>
                <w:kern w:val="0"/>
                <w:sz w:val="21"/>
                <w:szCs w:val="21"/>
                <w:highlight w:val="none"/>
              </w:rPr>
              <w:t>（</w:t>
            </w:r>
            <w:r>
              <w:rPr>
                <w:rFonts w:hint="eastAsia" w:ascii="宋体" w:hAnsi="宋体" w:cs="宋体"/>
                <w:b w:val="0"/>
                <w:bCs w:val="0"/>
                <w:kern w:val="0"/>
                <w:sz w:val="21"/>
                <w:szCs w:val="21"/>
                <w:highlight w:val="none"/>
                <w:lang w:val="en-US" w:eastAsia="zh-CN"/>
              </w:rPr>
              <w:t>2</w:t>
            </w:r>
            <w:r>
              <w:rPr>
                <w:rFonts w:hint="eastAsia" w:ascii="宋体" w:hAnsi="宋体" w:cs="宋体"/>
                <w:b w:val="0"/>
                <w:bCs w:val="0"/>
                <w:kern w:val="0"/>
                <w:sz w:val="21"/>
                <w:szCs w:val="21"/>
                <w:highlight w:val="none"/>
              </w:rPr>
              <w:t>）投标企业因违反法律、法规、规章规定以及其他扰乱秩序等行为被滁州市公管局披露信用信息的，招标人不接受其在披露期内的投标文件；</w:t>
            </w:r>
          </w:p>
          <w:p>
            <w:pPr>
              <w:keepNext w:val="0"/>
              <w:keepLines w:val="0"/>
              <w:pageBreakBefore w:val="0"/>
              <w:widowControl w:val="0"/>
              <w:kinsoku/>
              <w:wordWrap/>
              <w:overflowPunct/>
              <w:topLinePunct w:val="0"/>
              <w:autoSpaceDE w:val="0"/>
              <w:autoSpaceDN w:val="0"/>
              <w:bidi w:val="0"/>
              <w:adjustRightInd/>
              <w:snapToGrid w:val="0"/>
              <w:spacing w:line="340" w:lineRule="exact"/>
              <w:ind w:right="117" w:rightChars="53"/>
              <w:jc w:val="left"/>
              <w:textAlignment w:val="auto"/>
              <w:rPr>
                <w:rFonts w:hint="eastAsia" w:ascii="宋体" w:hAnsi="宋体" w:cs="宋体"/>
                <w:b w:val="0"/>
                <w:bCs w:val="0"/>
                <w:kern w:val="0"/>
                <w:sz w:val="21"/>
                <w:szCs w:val="21"/>
                <w:highlight w:val="none"/>
              </w:rPr>
            </w:pPr>
            <w:r>
              <w:rPr>
                <w:rFonts w:hint="eastAsia" w:ascii="宋体" w:hAnsi="宋体" w:cs="宋体"/>
                <w:b w:val="0"/>
                <w:bCs w:val="0"/>
                <w:kern w:val="0"/>
                <w:sz w:val="21"/>
                <w:szCs w:val="21"/>
                <w:highlight w:val="none"/>
              </w:rPr>
              <w:t>（</w:t>
            </w:r>
            <w:r>
              <w:rPr>
                <w:rFonts w:hint="eastAsia" w:ascii="宋体" w:hAnsi="宋体" w:cs="宋体"/>
                <w:b w:val="0"/>
                <w:bCs w:val="0"/>
                <w:kern w:val="0"/>
                <w:sz w:val="21"/>
                <w:szCs w:val="21"/>
                <w:highlight w:val="none"/>
                <w:lang w:val="en-US" w:eastAsia="zh-CN"/>
              </w:rPr>
              <w:t>3</w:t>
            </w:r>
            <w:r>
              <w:rPr>
                <w:rFonts w:hint="eastAsia" w:ascii="宋体" w:hAnsi="宋体" w:cs="宋体"/>
                <w:b w:val="0"/>
                <w:bCs w:val="0"/>
                <w:kern w:val="0"/>
                <w:sz w:val="21"/>
                <w:szCs w:val="21"/>
                <w:highlight w:val="none"/>
              </w:rPr>
              <w:t>）投标企业被列入重大税收违法案件当事人名单的，一律限制进滁交易资格，不得参加</w:t>
            </w:r>
            <w:r>
              <w:rPr>
                <w:rFonts w:hint="eastAsia" w:ascii="宋体" w:hAnsi="宋体" w:cs="宋体"/>
                <w:b w:val="0"/>
                <w:bCs w:val="0"/>
                <w:kern w:val="0"/>
                <w:sz w:val="21"/>
                <w:szCs w:val="21"/>
                <w:highlight w:val="none"/>
                <w:lang w:eastAsia="zh-CN"/>
              </w:rPr>
              <w:t>本</w:t>
            </w:r>
            <w:r>
              <w:rPr>
                <w:rFonts w:hint="eastAsia" w:ascii="宋体" w:hAnsi="宋体" w:cs="宋体"/>
                <w:b w:val="0"/>
                <w:bCs w:val="0"/>
                <w:kern w:val="0"/>
                <w:sz w:val="21"/>
                <w:szCs w:val="21"/>
                <w:highlight w:val="none"/>
              </w:rPr>
              <w:t>项目招投标活动，若中标取消中标资格；</w:t>
            </w:r>
          </w:p>
          <w:p>
            <w:pPr>
              <w:keepNext w:val="0"/>
              <w:keepLines w:val="0"/>
              <w:pageBreakBefore w:val="0"/>
              <w:widowControl w:val="0"/>
              <w:kinsoku/>
              <w:wordWrap/>
              <w:overflowPunct/>
              <w:topLinePunct w:val="0"/>
              <w:autoSpaceDE w:val="0"/>
              <w:autoSpaceDN w:val="0"/>
              <w:bidi w:val="0"/>
              <w:adjustRightInd/>
              <w:snapToGrid w:val="0"/>
              <w:spacing w:line="340" w:lineRule="exact"/>
              <w:ind w:right="117" w:rightChars="53"/>
              <w:jc w:val="left"/>
              <w:textAlignment w:val="auto"/>
              <w:rPr>
                <w:rFonts w:hint="eastAsia" w:ascii="宋体" w:hAnsi="宋体" w:cs="宋体"/>
                <w:b w:val="0"/>
                <w:bCs w:val="0"/>
                <w:kern w:val="0"/>
                <w:sz w:val="21"/>
                <w:szCs w:val="21"/>
                <w:highlight w:val="none"/>
              </w:rPr>
            </w:pPr>
            <w:r>
              <w:rPr>
                <w:rFonts w:hint="eastAsia" w:ascii="宋体" w:hAnsi="宋体" w:cs="宋体"/>
                <w:b w:val="0"/>
                <w:bCs w:val="0"/>
                <w:kern w:val="0"/>
                <w:sz w:val="21"/>
                <w:szCs w:val="21"/>
                <w:highlight w:val="none"/>
              </w:rPr>
              <w:t>（</w:t>
            </w:r>
            <w:r>
              <w:rPr>
                <w:rFonts w:hint="eastAsia" w:ascii="宋体" w:hAnsi="宋体" w:cs="宋体"/>
                <w:b w:val="0"/>
                <w:bCs w:val="0"/>
                <w:kern w:val="0"/>
                <w:sz w:val="21"/>
                <w:szCs w:val="21"/>
                <w:highlight w:val="none"/>
                <w:lang w:val="en-US" w:eastAsia="zh-CN"/>
              </w:rPr>
              <w:t>4</w:t>
            </w:r>
            <w:r>
              <w:rPr>
                <w:rFonts w:hint="eastAsia" w:ascii="宋体" w:hAnsi="宋体" w:cs="宋体"/>
                <w:b w:val="0"/>
                <w:bCs w:val="0"/>
                <w:kern w:val="0"/>
                <w:sz w:val="21"/>
                <w:szCs w:val="21"/>
                <w:highlight w:val="none"/>
              </w:rPr>
              <w:t>）招标采购人（代理机构）</w:t>
            </w:r>
            <w:r>
              <w:rPr>
                <w:rFonts w:hint="eastAsia" w:ascii="宋体" w:hAnsi="宋体" w:cs="宋体"/>
                <w:b w:val="0"/>
                <w:bCs w:val="0"/>
                <w:kern w:val="0"/>
                <w:sz w:val="21"/>
                <w:szCs w:val="21"/>
                <w:highlight w:val="none"/>
                <w:lang w:eastAsia="zh-CN"/>
              </w:rPr>
              <w:t>有权</w:t>
            </w:r>
            <w:r>
              <w:rPr>
                <w:rFonts w:hint="eastAsia" w:ascii="宋体" w:hAnsi="宋体" w:cs="宋体"/>
                <w:b w:val="0"/>
                <w:bCs w:val="0"/>
                <w:kern w:val="0"/>
                <w:sz w:val="21"/>
                <w:szCs w:val="21"/>
                <w:highlight w:val="none"/>
              </w:rPr>
              <w:t>通过“信用中国”网站（www.creditchina.gov.cn）、中国政府采购网（www.ccgp.gov.cn）等渠道查询投标人信用记录。</w:t>
            </w:r>
          </w:p>
          <w:p>
            <w:pPr>
              <w:keepNext w:val="0"/>
              <w:keepLines w:val="0"/>
              <w:pageBreakBefore w:val="0"/>
              <w:widowControl w:val="0"/>
              <w:kinsoku/>
              <w:wordWrap/>
              <w:overflowPunct/>
              <w:topLinePunct w:val="0"/>
              <w:autoSpaceDE w:val="0"/>
              <w:autoSpaceDN w:val="0"/>
              <w:bidi w:val="0"/>
              <w:adjustRightInd/>
              <w:snapToGrid w:val="0"/>
              <w:spacing w:line="340" w:lineRule="exact"/>
              <w:ind w:right="117" w:rightChars="53"/>
              <w:jc w:val="left"/>
              <w:textAlignment w:val="auto"/>
              <w:rPr>
                <w:rFonts w:hint="eastAsia" w:ascii="宋体" w:hAnsi="宋体" w:cs="宋体"/>
                <w:b w:val="0"/>
                <w:bCs w:val="0"/>
                <w:kern w:val="0"/>
                <w:sz w:val="21"/>
                <w:szCs w:val="21"/>
                <w:highlight w:val="none"/>
              </w:rPr>
            </w:pPr>
            <w:r>
              <w:rPr>
                <w:rFonts w:hint="eastAsia" w:ascii="宋体" w:hAnsi="宋体" w:cs="宋体"/>
                <w:b w:val="0"/>
                <w:bCs w:val="0"/>
                <w:kern w:val="0"/>
                <w:sz w:val="21"/>
                <w:szCs w:val="21"/>
                <w:highlight w:val="none"/>
              </w:rPr>
              <w:t>（</w:t>
            </w:r>
            <w:r>
              <w:rPr>
                <w:rFonts w:hint="eastAsia" w:ascii="宋体" w:hAnsi="宋体" w:cs="宋体"/>
                <w:b w:val="0"/>
                <w:bCs w:val="0"/>
                <w:kern w:val="0"/>
                <w:sz w:val="21"/>
                <w:szCs w:val="21"/>
                <w:highlight w:val="none"/>
                <w:lang w:val="en-US" w:eastAsia="zh-CN"/>
              </w:rPr>
              <w:t>5</w:t>
            </w:r>
            <w:r>
              <w:rPr>
                <w:rFonts w:hint="eastAsia" w:ascii="宋体" w:hAnsi="宋体" w:cs="宋体"/>
                <w:b w:val="0"/>
                <w:bCs w:val="0"/>
                <w:kern w:val="0"/>
                <w:sz w:val="21"/>
                <w:szCs w:val="21"/>
                <w:highlight w:val="none"/>
              </w:rPr>
              <w:t>）投标人的不良行为、失信行为及行政处罚等效力不因企业名称的变更而改变；投标人单位、法定代表人和拟任项目负责人近三年有行贿犯罪行为的，投标无效，如中标的将被取消中标资格；</w:t>
            </w:r>
          </w:p>
          <w:p>
            <w:pPr>
              <w:keepNext w:val="0"/>
              <w:keepLines w:val="0"/>
              <w:pageBreakBefore w:val="0"/>
              <w:widowControl w:val="0"/>
              <w:kinsoku/>
              <w:wordWrap/>
              <w:overflowPunct/>
              <w:topLinePunct w:val="0"/>
              <w:autoSpaceDE w:val="0"/>
              <w:autoSpaceDN w:val="0"/>
              <w:bidi w:val="0"/>
              <w:adjustRightInd/>
              <w:snapToGrid w:val="0"/>
              <w:spacing w:line="340" w:lineRule="exact"/>
              <w:ind w:right="117" w:rightChars="53"/>
              <w:jc w:val="left"/>
              <w:textAlignment w:val="auto"/>
              <w:rPr>
                <w:rFonts w:hint="eastAsia" w:ascii="宋体" w:hAnsi="宋体" w:cs="宋体"/>
                <w:b w:val="0"/>
                <w:bCs w:val="0"/>
                <w:kern w:val="0"/>
                <w:sz w:val="21"/>
                <w:szCs w:val="21"/>
                <w:highlight w:val="none"/>
              </w:rPr>
            </w:pPr>
            <w:r>
              <w:rPr>
                <w:rFonts w:hint="eastAsia" w:ascii="宋体" w:hAnsi="宋体" w:cs="宋体"/>
                <w:b w:val="0"/>
                <w:bCs w:val="0"/>
                <w:kern w:val="0"/>
                <w:sz w:val="21"/>
                <w:szCs w:val="21"/>
                <w:highlight w:val="none"/>
              </w:rPr>
              <w:t>（</w:t>
            </w:r>
            <w:r>
              <w:rPr>
                <w:rFonts w:hint="eastAsia" w:ascii="宋体" w:hAnsi="宋体" w:cs="宋体"/>
                <w:b w:val="0"/>
                <w:bCs w:val="0"/>
                <w:kern w:val="0"/>
                <w:sz w:val="21"/>
                <w:szCs w:val="21"/>
                <w:highlight w:val="none"/>
                <w:lang w:val="en-US" w:eastAsia="zh-CN"/>
              </w:rPr>
              <w:t>6</w:t>
            </w:r>
            <w:r>
              <w:rPr>
                <w:rFonts w:hint="eastAsia" w:ascii="宋体" w:hAnsi="宋体" w:cs="宋体"/>
                <w:b w:val="0"/>
                <w:bCs w:val="0"/>
                <w:kern w:val="0"/>
                <w:sz w:val="21"/>
                <w:szCs w:val="21"/>
                <w:highlight w:val="none"/>
              </w:rPr>
              <w:t xml:space="preserve">）社会法人存在《安徽省社会法人失信行为联合惩戒暂行办法》（皖政办【2015】52 号）第六条规定的失信行为的（在投标截止日该失信行为仍在执行中），不得参加投标； </w:t>
            </w:r>
          </w:p>
          <w:p>
            <w:pPr>
              <w:keepNext w:val="0"/>
              <w:keepLines w:val="0"/>
              <w:pageBreakBefore w:val="0"/>
              <w:widowControl w:val="0"/>
              <w:kinsoku/>
              <w:wordWrap/>
              <w:overflowPunct/>
              <w:topLinePunct w:val="0"/>
              <w:autoSpaceDE w:val="0"/>
              <w:autoSpaceDN w:val="0"/>
              <w:bidi w:val="0"/>
              <w:adjustRightInd/>
              <w:snapToGrid w:val="0"/>
              <w:spacing w:line="340" w:lineRule="exact"/>
              <w:ind w:right="117" w:rightChars="53"/>
              <w:jc w:val="left"/>
              <w:textAlignment w:val="auto"/>
              <w:rPr>
                <w:rFonts w:hint="eastAsia" w:ascii="宋体" w:hAnsi="宋体" w:cs="宋体"/>
                <w:b w:val="0"/>
                <w:bCs w:val="0"/>
                <w:kern w:val="0"/>
                <w:sz w:val="21"/>
                <w:szCs w:val="21"/>
                <w:highlight w:val="none"/>
              </w:rPr>
            </w:pPr>
            <w:r>
              <w:rPr>
                <w:rFonts w:hint="eastAsia" w:ascii="宋体" w:hAnsi="宋体" w:cs="宋体"/>
                <w:b w:val="0"/>
                <w:bCs w:val="0"/>
                <w:kern w:val="0"/>
                <w:sz w:val="21"/>
                <w:szCs w:val="21"/>
                <w:highlight w:val="none"/>
              </w:rPr>
              <w:t>（</w:t>
            </w:r>
            <w:r>
              <w:rPr>
                <w:rFonts w:hint="eastAsia" w:ascii="宋体" w:hAnsi="宋体" w:cs="宋体"/>
                <w:b w:val="0"/>
                <w:bCs w:val="0"/>
                <w:kern w:val="0"/>
                <w:sz w:val="21"/>
                <w:szCs w:val="21"/>
                <w:highlight w:val="none"/>
                <w:lang w:val="en-US" w:eastAsia="zh-CN"/>
              </w:rPr>
              <w:t>7</w:t>
            </w:r>
            <w:r>
              <w:rPr>
                <w:rFonts w:hint="eastAsia" w:ascii="宋体" w:hAnsi="宋体" w:cs="宋体"/>
                <w:b w:val="0"/>
                <w:bCs w:val="0"/>
                <w:kern w:val="0"/>
                <w:sz w:val="21"/>
                <w:szCs w:val="21"/>
                <w:highlight w:val="none"/>
              </w:rPr>
              <w:t>）中标候选人无正当理由放弃中标候选人资格的，其投标保证金将不予退还，并被记不良信息记录。</w:t>
            </w:r>
          </w:p>
          <w:p>
            <w:pPr>
              <w:pStyle w:val="25"/>
              <w:keepNext w:val="0"/>
              <w:keepLines w:val="0"/>
              <w:pageBreakBefore w:val="0"/>
              <w:widowControl w:val="0"/>
              <w:kinsoku/>
              <w:wordWrap/>
              <w:overflowPunct/>
              <w:topLinePunct w:val="0"/>
              <w:autoSpaceDE w:val="0"/>
              <w:autoSpaceDN w:val="0"/>
              <w:bidi w:val="0"/>
              <w:adjustRightInd/>
              <w:spacing w:before="20" w:line="340" w:lineRule="exact"/>
              <w:ind w:right="-45"/>
              <w:jc w:val="both"/>
              <w:textAlignment w:val="auto"/>
              <w:rPr>
                <w:rFonts w:hint="eastAsia" w:ascii="宋体" w:hAnsi="宋体" w:cs="宋体"/>
                <w:b w:val="0"/>
                <w:bCs w:val="0"/>
                <w:kern w:val="0"/>
                <w:sz w:val="21"/>
                <w:szCs w:val="21"/>
                <w:highlight w:val="none"/>
              </w:rPr>
            </w:pPr>
            <w:r>
              <w:rPr>
                <w:rFonts w:hint="eastAsia" w:ascii="宋体" w:hAnsi="宋体" w:cs="宋体"/>
                <w:b w:val="0"/>
                <w:bCs w:val="0"/>
                <w:kern w:val="0"/>
                <w:sz w:val="21"/>
                <w:szCs w:val="21"/>
                <w:highlight w:val="none"/>
                <w:lang w:eastAsia="zh-CN"/>
              </w:rPr>
              <w:t>（</w:t>
            </w:r>
            <w:r>
              <w:rPr>
                <w:rFonts w:hint="eastAsia" w:ascii="宋体" w:hAnsi="宋体" w:cs="宋体"/>
                <w:b w:val="0"/>
                <w:bCs w:val="0"/>
                <w:kern w:val="0"/>
                <w:sz w:val="21"/>
                <w:szCs w:val="21"/>
                <w:highlight w:val="none"/>
                <w:lang w:val="en-US" w:eastAsia="zh-CN"/>
              </w:rPr>
              <w:t>8</w:t>
            </w:r>
            <w:r>
              <w:rPr>
                <w:rFonts w:hint="eastAsia" w:ascii="宋体" w:hAnsi="宋体" w:cs="宋体"/>
                <w:b w:val="0"/>
                <w:bCs w:val="0"/>
                <w:kern w:val="0"/>
                <w:sz w:val="21"/>
                <w:szCs w:val="21"/>
                <w:highlight w:val="none"/>
                <w:lang w:eastAsia="zh-CN"/>
              </w:rPr>
              <w:t>）</w:t>
            </w:r>
            <w:r>
              <w:rPr>
                <w:rFonts w:hint="eastAsia" w:ascii="宋体" w:hAnsi="宋体" w:cs="宋体"/>
                <w:b w:val="0"/>
                <w:bCs w:val="0"/>
                <w:kern w:val="0"/>
                <w:sz w:val="21"/>
                <w:szCs w:val="21"/>
                <w:highlight w:val="none"/>
              </w:rPr>
              <w:t>若存在不予退还投标人投标保证金的情形，由</w:t>
            </w:r>
            <w:r>
              <w:rPr>
                <w:rFonts w:hint="eastAsia" w:ascii="宋体" w:hAnsi="宋体" w:cs="宋体"/>
                <w:b w:val="0"/>
                <w:bCs w:val="0"/>
                <w:kern w:val="0"/>
                <w:sz w:val="21"/>
                <w:szCs w:val="21"/>
                <w:highlight w:val="none"/>
                <w:lang w:eastAsia="zh-CN"/>
              </w:rPr>
              <w:t>招标人</w:t>
            </w:r>
            <w:r>
              <w:rPr>
                <w:rFonts w:hint="eastAsia" w:ascii="宋体" w:hAnsi="宋体" w:cs="宋体"/>
                <w:b w:val="0"/>
                <w:bCs w:val="0"/>
                <w:kern w:val="0"/>
                <w:sz w:val="21"/>
                <w:szCs w:val="21"/>
                <w:highlight w:val="none"/>
              </w:rPr>
              <w:t>直接予以收缴。</w:t>
            </w:r>
          </w:p>
          <w:p>
            <w:pPr>
              <w:pStyle w:val="25"/>
              <w:keepNext w:val="0"/>
              <w:keepLines w:val="0"/>
              <w:pageBreakBefore w:val="0"/>
              <w:widowControl w:val="0"/>
              <w:kinsoku/>
              <w:wordWrap/>
              <w:overflowPunct/>
              <w:topLinePunct w:val="0"/>
              <w:autoSpaceDE w:val="0"/>
              <w:autoSpaceDN w:val="0"/>
              <w:bidi w:val="0"/>
              <w:adjustRightInd/>
              <w:spacing w:before="20" w:line="340" w:lineRule="exact"/>
              <w:ind w:right="-45"/>
              <w:jc w:val="both"/>
              <w:textAlignment w:val="auto"/>
              <w:rPr>
                <w:rFonts w:hint="eastAsia" w:cs="宋体"/>
                <w:b w:val="0"/>
                <w:bCs w:val="0"/>
                <w:kern w:val="0"/>
                <w:highlight w:val="none"/>
                <w:lang w:val="en-US" w:eastAsia="zh-CN"/>
              </w:rPr>
            </w:pPr>
            <w:r>
              <w:rPr>
                <w:rFonts w:hint="eastAsia" w:cs="宋体"/>
                <w:b w:val="0"/>
                <w:bCs w:val="0"/>
                <w:kern w:val="0"/>
                <w:sz w:val="21"/>
                <w:szCs w:val="21"/>
                <w:highlight w:val="none"/>
                <w:lang w:eastAsia="zh-CN"/>
              </w:rPr>
              <w:t>（</w:t>
            </w:r>
            <w:r>
              <w:rPr>
                <w:rFonts w:hint="eastAsia" w:cs="宋体"/>
                <w:b w:val="0"/>
                <w:bCs w:val="0"/>
                <w:kern w:val="0"/>
                <w:sz w:val="21"/>
                <w:szCs w:val="21"/>
                <w:highlight w:val="none"/>
                <w:lang w:val="en-US" w:eastAsia="zh-CN"/>
              </w:rPr>
              <w:t>9</w:t>
            </w:r>
            <w:r>
              <w:rPr>
                <w:rFonts w:hint="eastAsia" w:cs="宋体"/>
                <w:b w:val="0"/>
                <w:bCs w:val="0"/>
                <w:kern w:val="0"/>
                <w:sz w:val="21"/>
                <w:szCs w:val="21"/>
                <w:highlight w:val="none"/>
                <w:lang w:eastAsia="zh-CN"/>
              </w:rPr>
              <w:t>）投标人参加本次投标，其法定代表人（或其委托代理人）准时参加本工程开标会。若由于投标人原因，其法定代表人（或其委托代理人）</w:t>
            </w:r>
            <w:r>
              <w:rPr>
                <w:rFonts w:hint="eastAsia" w:cs="宋体"/>
                <w:b w:val="0"/>
                <w:bCs w:val="0"/>
                <w:kern w:val="0"/>
                <w:sz w:val="21"/>
                <w:szCs w:val="21"/>
                <w:highlight w:val="none"/>
                <w:lang w:val="en-US" w:eastAsia="zh-CN"/>
              </w:rPr>
              <w:t>未</w:t>
            </w:r>
            <w:r>
              <w:rPr>
                <w:rFonts w:hint="eastAsia" w:cs="宋体"/>
                <w:b w:val="0"/>
                <w:bCs w:val="0"/>
                <w:kern w:val="0"/>
                <w:sz w:val="21"/>
                <w:szCs w:val="21"/>
                <w:highlight w:val="none"/>
                <w:lang w:eastAsia="zh-CN"/>
              </w:rPr>
              <w:t>准时参加开标会的，作自动弃权处理。</w:t>
            </w:r>
          </w:p>
        </w:tc>
      </w:tr>
    </w:tbl>
    <w:p>
      <w:pPr>
        <w:spacing w:after="0"/>
        <w:sectPr>
          <w:pgSz w:w="11910" w:h="16850"/>
          <w:pgMar w:top="1180" w:right="460" w:bottom="820" w:left="580" w:header="0" w:footer="636" w:gutter="0"/>
          <w:cols w:space="720" w:num="1"/>
        </w:sectPr>
      </w:pPr>
    </w:p>
    <w:p>
      <w:pPr>
        <w:pStyle w:val="3"/>
        <w:bidi w:val="0"/>
        <w:rPr>
          <w:rFonts w:hint="eastAsia" w:ascii="宋体"/>
          <w:b/>
          <w:sz w:val="28"/>
          <w:szCs w:val="32"/>
        </w:rPr>
      </w:pPr>
      <w:r>
        <w:t xml:space="preserve"> </w:t>
      </w:r>
      <w:bookmarkStart w:id="5" w:name="二、招标文件"/>
      <w:bookmarkEnd w:id="5"/>
      <w:bookmarkStart w:id="6" w:name="_Toc8279"/>
      <w:r>
        <w:rPr>
          <w:rFonts w:hint="eastAsia"/>
          <w:b/>
          <w:sz w:val="28"/>
          <w:szCs w:val="28"/>
          <w:lang w:val="en-US" w:eastAsia="zh-CN"/>
        </w:rPr>
        <w:t>第二章</w:t>
      </w:r>
      <w:r>
        <w:rPr>
          <w:rFonts w:hint="eastAsia" w:ascii="宋体"/>
          <w:b/>
          <w:sz w:val="28"/>
          <w:szCs w:val="28"/>
        </w:rPr>
        <w:t>、投标人须知</w:t>
      </w:r>
      <w:bookmarkEnd w:id="6"/>
    </w:p>
    <w:p>
      <w:pPr>
        <w:spacing w:line="440" w:lineRule="exact"/>
        <w:jc w:val="center"/>
        <w:outlineLvl w:val="2"/>
        <w:rPr>
          <w:rFonts w:hint="eastAsia" w:ascii="宋体"/>
          <w:sz w:val="28"/>
          <w:szCs w:val="28"/>
        </w:rPr>
      </w:pPr>
      <w:bookmarkStart w:id="7" w:name="_Toc469495724"/>
      <w:r>
        <w:rPr>
          <w:rFonts w:hint="eastAsia" w:ascii="宋体"/>
          <w:b/>
          <w:sz w:val="28"/>
          <w:szCs w:val="28"/>
        </w:rPr>
        <w:t>（一）</w:t>
      </w:r>
      <w:r>
        <w:rPr>
          <w:rFonts w:hint="eastAsia" w:ascii="宋体"/>
          <w:b/>
          <w:sz w:val="28"/>
          <w:szCs w:val="32"/>
        </w:rPr>
        <w:t>总  则</w:t>
      </w:r>
      <w:bookmarkEnd w:id="7"/>
    </w:p>
    <w:p>
      <w:pPr>
        <w:snapToGrid w:val="0"/>
        <w:spacing w:line="440" w:lineRule="exact"/>
        <w:ind w:firstLine="442" w:firstLineChars="200"/>
        <w:rPr>
          <w:rFonts w:hint="eastAsia" w:ascii="宋体"/>
          <w:b/>
          <w:szCs w:val="21"/>
        </w:rPr>
      </w:pPr>
      <w:r>
        <w:rPr>
          <w:rFonts w:hint="eastAsia" w:ascii="宋体"/>
          <w:b/>
          <w:szCs w:val="21"/>
        </w:rPr>
        <w:t>1.项目概况</w:t>
      </w:r>
    </w:p>
    <w:p>
      <w:pPr>
        <w:snapToGrid w:val="0"/>
        <w:spacing w:line="440" w:lineRule="exact"/>
        <w:ind w:firstLine="440" w:firstLineChars="200"/>
        <w:rPr>
          <w:rFonts w:hint="eastAsia" w:ascii="宋体"/>
          <w:szCs w:val="21"/>
          <w:u w:val="single"/>
        </w:rPr>
      </w:pPr>
      <w:r>
        <w:rPr>
          <w:rFonts w:hint="eastAsia" w:ascii="宋体"/>
          <w:szCs w:val="21"/>
        </w:rPr>
        <w:t>1.1本次招标项目名称：见投标人须知前附表。</w:t>
      </w:r>
    </w:p>
    <w:p>
      <w:pPr>
        <w:snapToGrid w:val="0"/>
        <w:spacing w:line="440" w:lineRule="exact"/>
        <w:ind w:firstLine="440" w:firstLineChars="200"/>
        <w:rPr>
          <w:rFonts w:hint="eastAsia" w:ascii="宋体"/>
          <w:szCs w:val="21"/>
          <w:u w:val="single"/>
        </w:rPr>
      </w:pPr>
      <w:r>
        <w:rPr>
          <w:rFonts w:hint="eastAsia" w:ascii="宋体"/>
          <w:szCs w:val="21"/>
        </w:rPr>
        <w:t xml:space="preserve">               项目编号：见投标人须知前附表。</w:t>
      </w:r>
    </w:p>
    <w:p>
      <w:pPr>
        <w:snapToGrid w:val="0"/>
        <w:spacing w:line="440" w:lineRule="exact"/>
        <w:ind w:firstLine="440" w:firstLineChars="200"/>
        <w:rPr>
          <w:rFonts w:hint="eastAsia" w:ascii="宋体"/>
          <w:szCs w:val="21"/>
        </w:rPr>
      </w:pPr>
      <w:r>
        <w:rPr>
          <w:rFonts w:hint="eastAsia" w:ascii="宋体"/>
          <w:szCs w:val="21"/>
        </w:rPr>
        <w:t xml:space="preserve">                招标人：见投标人须知前附表。</w:t>
      </w:r>
    </w:p>
    <w:p>
      <w:pPr>
        <w:snapToGrid w:val="0"/>
        <w:spacing w:line="440" w:lineRule="exact"/>
        <w:ind w:firstLine="2200" w:firstLineChars="1000"/>
        <w:rPr>
          <w:rFonts w:hint="eastAsia" w:ascii="宋体"/>
          <w:szCs w:val="21"/>
          <w:u w:val="single"/>
        </w:rPr>
      </w:pPr>
      <w:r>
        <w:rPr>
          <w:rFonts w:hint="eastAsia" w:ascii="宋体"/>
          <w:szCs w:val="21"/>
        </w:rPr>
        <w:t>服务周期：见投标人须知前附表。</w:t>
      </w:r>
    </w:p>
    <w:p>
      <w:pPr>
        <w:snapToGrid w:val="0"/>
        <w:spacing w:line="440" w:lineRule="exact"/>
        <w:ind w:firstLine="440" w:firstLineChars="200"/>
        <w:rPr>
          <w:rFonts w:hint="eastAsia" w:ascii="宋体"/>
          <w:szCs w:val="21"/>
          <w:u w:val="single"/>
        </w:rPr>
      </w:pPr>
      <w:r>
        <w:rPr>
          <w:rFonts w:hint="eastAsia" w:ascii="宋体"/>
          <w:szCs w:val="21"/>
        </w:rPr>
        <w:t xml:space="preserve">               供货地点：见投标人须知前附表。</w:t>
      </w:r>
    </w:p>
    <w:p>
      <w:pPr>
        <w:snapToGrid w:val="0"/>
        <w:spacing w:line="440" w:lineRule="exact"/>
        <w:ind w:firstLine="440" w:firstLineChars="200"/>
        <w:rPr>
          <w:rFonts w:hint="eastAsia" w:ascii="宋体"/>
          <w:szCs w:val="21"/>
          <w:u w:val="single"/>
        </w:rPr>
      </w:pPr>
      <w:r>
        <w:rPr>
          <w:rFonts w:hint="eastAsia" w:ascii="宋体"/>
          <w:szCs w:val="21"/>
        </w:rPr>
        <w:t>1.2招标人及联系人: 见投标人须知前附表。</w:t>
      </w:r>
    </w:p>
    <w:p>
      <w:pPr>
        <w:snapToGrid w:val="0"/>
        <w:spacing w:line="440" w:lineRule="exact"/>
        <w:ind w:firstLine="550" w:firstLineChars="250"/>
        <w:rPr>
          <w:rFonts w:hint="eastAsia" w:ascii="宋体"/>
          <w:szCs w:val="21"/>
          <w:u w:val="single"/>
        </w:rPr>
      </w:pPr>
      <w:r>
        <w:rPr>
          <w:rFonts w:hint="eastAsia" w:ascii="宋体"/>
          <w:szCs w:val="21"/>
        </w:rPr>
        <w:t xml:space="preserve"> 代理机构及联系人: 见投标人须知前附表。</w:t>
      </w:r>
    </w:p>
    <w:p>
      <w:pPr>
        <w:snapToGrid w:val="0"/>
        <w:spacing w:line="440" w:lineRule="exact"/>
        <w:ind w:firstLine="440" w:firstLineChars="200"/>
        <w:rPr>
          <w:rFonts w:hint="eastAsia" w:ascii="宋体"/>
          <w:szCs w:val="21"/>
        </w:rPr>
      </w:pPr>
      <w:r>
        <w:rPr>
          <w:rFonts w:hint="eastAsia" w:ascii="宋体"/>
          <w:szCs w:val="21"/>
        </w:rPr>
        <w:t>1.3资金来源：见投标人须知前附表。</w:t>
      </w:r>
    </w:p>
    <w:p>
      <w:pPr>
        <w:snapToGrid w:val="0"/>
        <w:spacing w:line="440" w:lineRule="exact"/>
        <w:ind w:firstLine="440" w:firstLineChars="200"/>
        <w:rPr>
          <w:rFonts w:hint="eastAsia" w:ascii="宋体"/>
          <w:szCs w:val="21"/>
        </w:rPr>
      </w:pPr>
      <w:r>
        <w:rPr>
          <w:rFonts w:hint="eastAsia" w:ascii="宋体"/>
          <w:szCs w:val="21"/>
        </w:rPr>
        <w:t>1.4本项目预算：见投标人须知前附表。</w:t>
      </w:r>
    </w:p>
    <w:p>
      <w:pPr>
        <w:snapToGrid w:val="0"/>
        <w:spacing w:line="440" w:lineRule="exact"/>
        <w:ind w:firstLine="440" w:firstLineChars="200"/>
        <w:rPr>
          <w:rFonts w:hint="eastAsia" w:ascii="宋体"/>
          <w:b/>
          <w:szCs w:val="21"/>
        </w:rPr>
      </w:pPr>
      <w:r>
        <w:rPr>
          <w:rFonts w:hint="eastAsia" w:ascii="宋体"/>
          <w:color w:val="FF0000"/>
          <w:szCs w:val="21"/>
        </w:rPr>
        <w:t xml:space="preserve"> </w:t>
      </w:r>
      <w:r>
        <w:rPr>
          <w:rFonts w:hint="eastAsia" w:ascii="宋体"/>
          <w:b/>
          <w:szCs w:val="21"/>
        </w:rPr>
        <w:t>2.招标范围：</w:t>
      </w:r>
    </w:p>
    <w:p>
      <w:pPr>
        <w:snapToGrid w:val="0"/>
        <w:spacing w:line="440" w:lineRule="exact"/>
        <w:ind w:firstLine="440" w:firstLineChars="200"/>
        <w:rPr>
          <w:rFonts w:hint="eastAsia" w:ascii="宋体"/>
          <w:szCs w:val="21"/>
          <w:u w:val="single"/>
        </w:rPr>
      </w:pPr>
      <w:r>
        <w:rPr>
          <w:rFonts w:hint="eastAsia" w:ascii="宋体"/>
          <w:szCs w:val="21"/>
        </w:rPr>
        <w:t xml:space="preserve">2.1 </w:t>
      </w:r>
      <w:r>
        <w:rPr>
          <w:rFonts w:hint="eastAsia"/>
          <w:szCs w:val="21"/>
          <w:lang w:val="en-US" w:eastAsia="zh-CN"/>
        </w:rPr>
        <w:t>服务</w:t>
      </w:r>
      <w:r>
        <w:rPr>
          <w:rFonts w:hint="eastAsia" w:ascii="宋体"/>
          <w:szCs w:val="21"/>
        </w:rPr>
        <w:t>内容：见投标人须知前附表。</w:t>
      </w:r>
    </w:p>
    <w:p>
      <w:pPr>
        <w:snapToGrid w:val="0"/>
        <w:spacing w:line="440" w:lineRule="exact"/>
        <w:ind w:firstLine="440" w:firstLineChars="200"/>
        <w:rPr>
          <w:rFonts w:hint="eastAsia" w:ascii="宋体"/>
          <w:szCs w:val="21"/>
        </w:rPr>
      </w:pPr>
      <w:r>
        <w:rPr>
          <w:rFonts w:hint="eastAsia" w:ascii="宋体"/>
          <w:szCs w:val="21"/>
        </w:rPr>
        <w:t>2.2 技术要求：详见交易文件</w:t>
      </w:r>
      <w:r>
        <w:rPr>
          <w:rFonts w:hint="eastAsia" w:ascii="宋体"/>
          <w:color w:val="auto"/>
          <w:szCs w:val="21"/>
          <w:highlight w:val="none"/>
        </w:rPr>
        <w:t>第四章</w:t>
      </w:r>
      <w:r>
        <w:rPr>
          <w:rFonts w:hint="eastAsia"/>
          <w:color w:val="auto"/>
          <w:szCs w:val="21"/>
          <w:highlight w:val="none"/>
          <w:lang w:val="en-US" w:eastAsia="zh-CN"/>
        </w:rPr>
        <w:t>技术规范</w:t>
      </w:r>
      <w:r>
        <w:rPr>
          <w:rFonts w:hint="eastAsia" w:ascii="宋体"/>
          <w:szCs w:val="21"/>
        </w:rPr>
        <w:t>。</w:t>
      </w:r>
    </w:p>
    <w:p>
      <w:pPr>
        <w:snapToGrid w:val="0"/>
        <w:spacing w:line="440" w:lineRule="exact"/>
        <w:ind w:firstLine="442" w:firstLineChars="200"/>
        <w:rPr>
          <w:rFonts w:hint="eastAsia" w:ascii="宋体"/>
          <w:b/>
          <w:szCs w:val="21"/>
        </w:rPr>
      </w:pPr>
      <w:r>
        <w:rPr>
          <w:rFonts w:hint="eastAsia" w:ascii="宋体"/>
          <w:b/>
          <w:szCs w:val="21"/>
        </w:rPr>
        <w:t>3.标包划分：</w:t>
      </w:r>
    </w:p>
    <w:p>
      <w:pPr>
        <w:snapToGrid w:val="0"/>
        <w:spacing w:line="440" w:lineRule="exact"/>
        <w:ind w:firstLine="440" w:firstLineChars="200"/>
        <w:rPr>
          <w:rFonts w:hint="eastAsia" w:ascii="宋体"/>
          <w:color w:val="0000FF"/>
          <w:szCs w:val="21"/>
        </w:rPr>
      </w:pPr>
      <w:r>
        <w:rPr>
          <w:rFonts w:hint="eastAsia" w:ascii="宋体"/>
          <w:szCs w:val="21"/>
        </w:rPr>
        <w:t>3.1本项目划分：</w:t>
      </w:r>
      <w:r>
        <w:rPr>
          <w:rFonts w:hint="eastAsia" w:ascii="宋体"/>
          <w:szCs w:val="21"/>
          <w:u w:val="single"/>
        </w:rPr>
        <w:t xml:space="preserve"> 一 </w:t>
      </w:r>
      <w:r>
        <w:rPr>
          <w:rFonts w:hint="eastAsia" w:ascii="宋体"/>
          <w:szCs w:val="21"/>
        </w:rPr>
        <w:t xml:space="preserve"> </w:t>
      </w:r>
      <w:r>
        <w:rPr>
          <w:rFonts w:hint="eastAsia"/>
          <w:szCs w:val="21"/>
        </w:rPr>
        <w:t>个标包</w:t>
      </w:r>
      <w:r>
        <w:rPr>
          <w:rFonts w:hint="eastAsia" w:ascii="宋体" w:hAnsi="宋体" w:cs="宋体"/>
          <w:color w:val="0000FF"/>
          <w:kern w:val="0"/>
          <w:szCs w:val="21"/>
        </w:rPr>
        <w:t>。</w:t>
      </w:r>
    </w:p>
    <w:p>
      <w:pPr>
        <w:snapToGrid w:val="0"/>
        <w:spacing w:line="440" w:lineRule="exact"/>
        <w:ind w:firstLine="442" w:firstLineChars="200"/>
        <w:rPr>
          <w:rFonts w:hint="eastAsia" w:ascii="宋体"/>
          <w:b/>
          <w:szCs w:val="21"/>
        </w:rPr>
      </w:pPr>
      <w:r>
        <w:rPr>
          <w:rFonts w:hint="eastAsia" w:ascii="宋体"/>
          <w:b/>
          <w:szCs w:val="21"/>
        </w:rPr>
        <w:t>4.招标方式：</w:t>
      </w:r>
    </w:p>
    <w:p>
      <w:pPr>
        <w:snapToGrid w:val="0"/>
        <w:spacing w:line="440" w:lineRule="exact"/>
        <w:ind w:firstLine="440" w:firstLineChars="200"/>
        <w:rPr>
          <w:rFonts w:hint="eastAsia" w:ascii="宋体"/>
          <w:szCs w:val="21"/>
        </w:rPr>
      </w:pPr>
      <w:r>
        <w:rPr>
          <w:rFonts w:hint="eastAsia" w:ascii="宋体"/>
          <w:szCs w:val="21"/>
        </w:rPr>
        <w:t>4.1本项目招标方式：</w:t>
      </w:r>
      <w:r>
        <w:rPr>
          <w:rFonts w:hint="eastAsia"/>
          <w:szCs w:val="21"/>
          <w:u w:val="single"/>
          <w:lang w:val="en-US" w:eastAsia="zh-CN"/>
        </w:rPr>
        <w:t>公开招标</w:t>
      </w:r>
      <w:r>
        <w:rPr>
          <w:rFonts w:hint="eastAsia" w:ascii="宋体"/>
          <w:szCs w:val="21"/>
        </w:rPr>
        <w:t>。</w:t>
      </w:r>
    </w:p>
    <w:p>
      <w:pPr>
        <w:snapToGrid w:val="0"/>
        <w:spacing w:line="440" w:lineRule="exact"/>
        <w:ind w:firstLine="442" w:firstLineChars="200"/>
        <w:rPr>
          <w:rFonts w:hint="eastAsia" w:ascii="宋体"/>
          <w:b/>
          <w:szCs w:val="21"/>
        </w:rPr>
      </w:pPr>
      <w:r>
        <w:rPr>
          <w:rFonts w:hint="eastAsia" w:ascii="宋体"/>
          <w:b/>
          <w:szCs w:val="21"/>
        </w:rPr>
        <w:t>5.</w:t>
      </w:r>
      <w:r>
        <w:rPr>
          <w:rFonts w:hint="eastAsia"/>
          <w:b/>
          <w:szCs w:val="21"/>
          <w:lang w:val="en-US" w:eastAsia="zh-CN"/>
        </w:rPr>
        <w:t>报价</w:t>
      </w:r>
      <w:r>
        <w:rPr>
          <w:rFonts w:hint="eastAsia" w:ascii="宋体"/>
          <w:b/>
          <w:szCs w:val="21"/>
        </w:rPr>
        <w:t>方式：</w:t>
      </w:r>
    </w:p>
    <w:p>
      <w:pPr>
        <w:snapToGrid w:val="0"/>
        <w:spacing w:line="440" w:lineRule="exact"/>
        <w:ind w:firstLine="440" w:firstLineChars="200"/>
        <w:rPr>
          <w:rFonts w:hint="eastAsia" w:ascii="宋体"/>
          <w:color w:val="FF0000"/>
          <w:szCs w:val="21"/>
        </w:rPr>
      </w:pPr>
      <w:r>
        <w:rPr>
          <w:rFonts w:hint="eastAsia" w:ascii="宋体"/>
          <w:szCs w:val="21"/>
        </w:rPr>
        <w:t>5.1本次招标</w:t>
      </w:r>
      <w:r>
        <w:t>报价方式</w:t>
      </w:r>
      <w:r>
        <w:rPr>
          <w:rFonts w:hint="eastAsia"/>
          <w:lang w:val="en-US" w:eastAsia="zh-CN"/>
        </w:rPr>
        <w:t>采用</w:t>
      </w:r>
      <w:r>
        <w:rPr>
          <w:rFonts w:hint="eastAsia" w:ascii="宋体"/>
          <w:szCs w:val="21"/>
          <w:u w:val="single"/>
        </w:rPr>
        <w:t xml:space="preserve">   </w:t>
      </w:r>
      <w:r>
        <w:rPr>
          <w:rFonts w:hint="eastAsia"/>
          <w:szCs w:val="21"/>
          <w:u w:val="single"/>
          <w:lang w:val="en-US" w:eastAsia="zh-CN"/>
        </w:rPr>
        <w:t>费率报价</w:t>
      </w:r>
      <w:r>
        <w:rPr>
          <w:rFonts w:hint="eastAsia" w:ascii="宋体"/>
          <w:szCs w:val="21"/>
          <w:u w:val="single"/>
        </w:rPr>
        <w:t xml:space="preserve"> 。</w:t>
      </w:r>
    </w:p>
    <w:p>
      <w:pPr>
        <w:snapToGrid w:val="0"/>
        <w:spacing w:line="440" w:lineRule="exact"/>
        <w:ind w:firstLine="442" w:firstLineChars="200"/>
        <w:rPr>
          <w:rFonts w:hint="eastAsia" w:ascii="宋体"/>
          <w:b/>
          <w:szCs w:val="21"/>
        </w:rPr>
      </w:pPr>
      <w:r>
        <w:rPr>
          <w:rFonts w:hint="eastAsia" w:ascii="宋体"/>
          <w:b/>
          <w:szCs w:val="21"/>
        </w:rPr>
        <w:t>6.评标办法：</w:t>
      </w:r>
    </w:p>
    <w:p>
      <w:pPr>
        <w:snapToGrid w:val="0"/>
        <w:spacing w:line="440" w:lineRule="exact"/>
        <w:ind w:firstLine="440" w:firstLineChars="200"/>
        <w:rPr>
          <w:rFonts w:hint="eastAsia" w:ascii="宋体"/>
          <w:szCs w:val="21"/>
        </w:rPr>
      </w:pPr>
      <w:r>
        <w:rPr>
          <w:rFonts w:hint="eastAsia" w:ascii="宋体"/>
          <w:szCs w:val="21"/>
        </w:rPr>
        <w:t>6.1本次招标评标采用</w:t>
      </w:r>
      <w:r>
        <w:rPr>
          <w:rFonts w:hint="eastAsia" w:ascii="宋体"/>
          <w:szCs w:val="21"/>
          <w:u w:val="single"/>
        </w:rPr>
        <w:t xml:space="preserve">  </w:t>
      </w:r>
      <w:r>
        <w:rPr>
          <w:rFonts w:hint="eastAsia"/>
          <w:color w:val="auto"/>
          <w:szCs w:val="21"/>
          <w:highlight w:val="none"/>
          <w:u w:val="single"/>
          <w:lang w:val="en-US" w:eastAsia="zh-CN"/>
        </w:rPr>
        <w:t>合理低价法（费率）</w:t>
      </w:r>
      <w:r>
        <w:rPr>
          <w:rFonts w:hint="eastAsia" w:ascii="宋体"/>
          <w:szCs w:val="21"/>
          <w:u w:val="single"/>
        </w:rPr>
        <w:t xml:space="preserve"> </w:t>
      </w:r>
      <w:r>
        <w:rPr>
          <w:rFonts w:hint="eastAsia" w:ascii="宋体"/>
          <w:szCs w:val="21"/>
        </w:rPr>
        <w:t>（详见第三章评标办法）</w:t>
      </w:r>
    </w:p>
    <w:p>
      <w:pPr>
        <w:spacing w:line="440" w:lineRule="exact"/>
        <w:ind w:firstLine="442" w:firstLineChars="200"/>
        <w:rPr>
          <w:rFonts w:hint="eastAsia" w:ascii="宋体"/>
          <w:b/>
          <w:szCs w:val="21"/>
        </w:rPr>
      </w:pPr>
      <w:r>
        <w:rPr>
          <w:rFonts w:hint="eastAsia" w:ascii="宋体"/>
          <w:b/>
          <w:szCs w:val="21"/>
        </w:rPr>
        <w:t>7.投标人资质等级及其他要求：见投标须知前附表。</w:t>
      </w:r>
    </w:p>
    <w:p>
      <w:pPr>
        <w:spacing w:line="440" w:lineRule="exact"/>
        <w:ind w:firstLine="442" w:firstLineChars="200"/>
        <w:rPr>
          <w:rFonts w:hint="eastAsia" w:ascii="宋体"/>
          <w:b w:val="0"/>
          <w:bCs/>
          <w:szCs w:val="21"/>
        </w:rPr>
      </w:pPr>
      <w:r>
        <w:rPr>
          <w:rFonts w:hint="eastAsia"/>
          <w:b/>
          <w:szCs w:val="21"/>
          <w:lang w:val="en-US" w:eastAsia="zh-CN"/>
        </w:rPr>
        <w:t>7</w:t>
      </w:r>
      <w:r>
        <w:rPr>
          <w:rFonts w:hint="eastAsia" w:ascii="宋体"/>
          <w:b/>
          <w:szCs w:val="21"/>
        </w:rPr>
        <w:t>.1</w:t>
      </w:r>
      <w:r>
        <w:rPr>
          <w:rFonts w:hint="eastAsia" w:ascii="宋体"/>
          <w:b w:val="0"/>
          <w:bCs/>
          <w:szCs w:val="21"/>
        </w:rPr>
        <w:t>投标人拟派的总监理工程师应当与资格审查时的一致。</w:t>
      </w:r>
    </w:p>
    <w:p>
      <w:pPr>
        <w:spacing w:line="440" w:lineRule="exact"/>
        <w:ind w:firstLine="440" w:firstLineChars="200"/>
        <w:rPr>
          <w:rFonts w:hint="eastAsia" w:ascii="宋体"/>
          <w:b w:val="0"/>
          <w:bCs/>
          <w:szCs w:val="21"/>
        </w:rPr>
      </w:pPr>
      <w:r>
        <w:rPr>
          <w:rFonts w:hint="eastAsia"/>
          <w:b w:val="0"/>
          <w:bCs/>
          <w:szCs w:val="21"/>
          <w:lang w:val="en-US" w:eastAsia="zh-CN"/>
        </w:rPr>
        <w:t>7</w:t>
      </w:r>
      <w:r>
        <w:rPr>
          <w:rFonts w:hint="eastAsia" w:ascii="宋体"/>
          <w:b w:val="0"/>
          <w:bCs/>
          <w:szCs w:val="21"/>
        </w:rPr>
        <w:t>.2投标人及拟派的总监应具有良好社会信誉，并在近五年内无被立案调查及企业生产管理没有发生重大安全或质量事故。</w:t>
      </w:r>
    </w:p>
    <w:p>
      <w:pPr>
        <w:spacing w:line="440" w:lineRule="exact"/>
        <w:ind w:firstLine="440" w:firstLineChars="200"/>
        <w:rPr>
          <w:rFonts w:hint="eastAsia" w:ascii="宋体"/>
          <w:b w:val="0"/>
          <w:bCs/>
          <w:szCs w:val="21"/>
        </w:rPr>
      </w:pPr>
      <w:r>
        <w:rPr>
          <w:rFonts w:hint="eastAsia"/>
          <w:b w:val="0"/>
          <w:bCs/>
          <w:szCs w:val="21"/>
          <w:lang w:val="en-US" w:eastAsia="zh-CN"/>
        </w:rPr>
        <w:t>7</w:t>
      </w:r>
      <w:r>
        <w:rPr>
          <w:rFonts w:hint="eastAsia" w:ascii="宋体"/>
          <w:b w:val="0"/>
          <w:bCs/>
          <w:szCs w:val="21"/>
        </w:rPr>
        <w:t>.3拟组建的监理部人员要求：总监理工程师 1 人（总监理工程师须具有国家级注册监理工程师执业资格，注册专业为市政公用工程），专业监理工程师不得少于</w:t>
      </w:r>
      <w:r>
        <w:rPr>
          <w:rFonts w:hint="eastAsia"/>
          <w:b w:val="0"/>
          <w:bCs/>
          <w:szCs w:val="21"/>
          <w:lang w:val="en-US" w:eastAsia="zh-CN"/>
        </w:rPr>
        <w:t>2</w:t>
      </w:r>
      <w:r>
        <w:rPr>
          <w:rFonts w:hint="eastAsia" w:ascii="宋体"/>
          <w:b w:val="0"/>
          <w:bCs/>
          <w:szCs w:val="21"/>
        </w:rPr>
        <w:t>人（市政公用工程专业监理工程师须具备省级及以上监理工程师资格），专业监理工程师（省级监理工程师）的专业以注册专业（或学历专业或职称专业）为准，以学历专业（或职称专业）证明其专业的，除需提供省级监理工程师证书外，还需提供学历证书（或职称证书），未按要求提供证书或经</w:t>
      </w:r>
      <w:r>
        <w:rPr>
          <w:rFonts w:hint="eastAsia"/>
          <w:b w:val="0"/>
          <w:bCs/>
          <w:szCs w:val="21"/>
          <w:lang w:eastAsia="zh-CN"/>
        </w:rPr>
        <w:t>评标小组</w:t>
      </w:r>
      <w:r>
        <w:rPr>
          <w:rFonts w:hint="eastAsia" w:ascii="宋体"/>
          <w:b w:val="0"/>
          <w:bCs/>
          <w:szCs w:val="21"/>
        </w:rPr>
        <w:t>一致认定为不合格的，投标按无效处理；专业监理工程师（省级监理工程师）可以采用国家级注册监理工程师代替，但其专业应满足上述要求。中标单位进驻现场后，业主可根据施工现场情况增加或调整人员数量和相关专业，现场监理人员不得随意更换或减少。</w:t>
      </w:r>
    </w:p>
    <w:p>
      <w:pPr>
        <w:spacing w:line="440" w:lineRule="exact"/>
        <w:ind w:firstLine="440" w:firstLineChars="200"/>
        <w:rPr>
          <w:rFonts w:hint="eastAsia" w:ascii="宋体"/>
          <w:b w:val="0"/>
          <w:bCs/>
          <w:szCs w:val="21"/>
        </w:rPr>
      </w:pPr>
      <w:r>
        <w:rPr>
          <w:rFonts w:hint="eastAsia" w:ascii="宋体"/>
          <w:b w:val="0"/>
          <w:bCs/>
          <w:szCs w:val="21"/>
        </w:rPr>
        <w:t>6.4投标人能够承诺并遵守交易文件的全部要求，必须具有一定的信誉，具有过硬的监理能力，严禁转借总监证书挂户投标或中标后转包，一经发现取消其中标资格或终止合同，并没收其投标保证金和履约保证金。</w:t>
      </w:r>
    </w:p>
    <w:p>
      <w:pPr>
        <w:spacing w:line="440" w:lineRule="exact"/>
        <w:ind w:firstLine="442" w:firstLineChars="200"/>
        <w:rPr>
          <w:rFonts w:hint="eastAsia"/>
          <w:b/>
          <w:szCs w:val="21"/>
        </w:rPr>
      </w:pPr>
      <w:r>
        <w:rPr>
          <w:rFonts w:hint="eastAsia"/>
          <w:b/>
          <w:szCs w:val="21"/>
        </w:rPr>
        <w:t>8. 投标费用</w:t>
      </w:r>
    </w:p>
    <w:p>
      <w:pPr>
        <w:snapToGrid w:val="0"/>
        <w:spacing w:line="440" w:lineRule="exact"/>
        <w:ind w:firstLine="440" w:firstLineChars="200"/>
        <w:rPr>
          <w:rFonts w:hint="eastAsia" w:ascii="宋体"/>
          <w:szCs w:val="21"/>
        </w:rPr>
      </w:pPr>
      <w:r>
        <w:rPr>
          <w:rFonts w:hint="eastAsia" w:ascii="宋体"/>
          <w:szCs w:val="21"/>
        </w:rPr>
        <w:t>8.1投标人准备和参加投标活动发生的费用自理。</w:t>
      </w:r>
    </w:p>
    <w:p>
      <w:pPr>
        <w:spacing w:line="440" w:lineRule="exact"/>
        <w:ind w:firstLine="442" w:firstLineChars="200"/>
        <w:rPr>
          <w:rFonts w:hint="eastAsia" w:eastAsia="Calibri"/>
          <w:b/>
          <w:szCs w:val="21"/>
          <w:lang w:eastAsia="zh-CN"/>
        </w:rPr>
      </w:pPr>
      <w:r>
        <w:rPr>
          <w:rFonts w:hint="eastAsia"/>
          <w:b/>
          <w:szCs w:val="21"/>
        </w:rPr>
        <w:t>9.</w:t>
      </w:r>
      <w:bookmarkStart w:id="8" w:name="_Toc152045539"/>
      <w:bookmarkStart w:id="9" w:name="_Toc247513962"/>
      <w:bookmarkStart w:id="10" w:name="_Toc247527563"/>
      <w:bookmarkStart w:id="11" w:name="_Toc152042315"/>
      <w:bookmarkStart w:id="12" w:name="_Toc247592876"/>
      <w:bookmarkStart w:id="13" w:name="_Toc144974507"/>
      <w:bookmarkStart w:id="14" w:name="_Toc296602429"/>
      <w:r>
        <w:rPr>
          <w:rFonts w:hint="eastAsia"/>
          <w:b/>
          <w:szCs w:val="21"/>
        </w:rPr>
        <w:t xml:space="preserve"> 踏勘现场</w:t>
      </w:r>
      <w:bookmarkEnd w:id="8"/>
      <w:bookmarkEnd w:id="9"/>
      <w:bookmarkEnd w:id="10"/>
      <w:bookmarkEnd w:id="11"/>
      <w:bookmarkEnd w:id="12"/>
      <w:bookmarkEnd w:id="13"/>
      <w:bookmarkEnd w:id="14"/>
    </w:p>
    <w:p>
      <w:pPr>
        <w:spacing w:line="440" w:lineRule="exact"/>
        <w:ind w:firstLine="429" w:firstLineChars="195"/>
        <w:rPr>
          <w:rFonts w:hint="eastAsia" w:ascii="宋体"/>
          <w:szCs w:val="21"/>
        </w:rPr>
      </w:pPr>
      <w:bookmarkStart w:id="15" w:name="_Toc247513963"/>
      <w:bookmarkStart w:id="16" w:name="_Toc152042316"/>
      <w:bookmarkStart w:id="17" w:name="_Toc296602430"/>
      <w:bookmarkStart w:id="18" w:name="_Toc247527564"/>
      <w:bookmarkStart w:id="19" w:name="_Toc247592877"/>
      <w:bookmarkStart w:id="20" w:name="_Toc152045540"/>
      <w:bookmarkStart w:id="21" w:name="_Toc144974508"/>
      <w:r>
        <w:rPr>
          <w:rFonts w:hint="eastAsia"/>
          <w:szCs w:val="21"/>
          <w:lang w:val="en-US" w:eastAsia="zh-CN"/>
        </w:rPr>
        <w:t>9.1</w:t>
      </w:r>
      <w:r>
        <w:rPr>
          <w:rFonts w:hint="eastAsia" w:ascii="宋体"/>
          <w:szCs w:val="21"/>
        </w:rPr>
        <w:t xml:space="preserve">投标人自行对项目现场及周围环境进行踏勘，以便投标人获取有关编制投标文件和签署合同所涉及现场的资料。投标人承担踏勘现场所发生的自身费用。 </w:t>
      </w:r>
    </w:p>
    <w:p>
      <w:pPr>
        <w:spacing w:line="440" w:lineRule="exact"/>
        <w:ind w:firstLine="429" w:firstLineChars="195"/>
        <w:rPr>
          <w:rFonts w:hint="eastAsia" w:ascii="宋体"/>
          <w:szCs w:val="21"/>
        </w:rPr>
      </w:pPr>
      <w:r>
        <w:rPr>
          <w:rFonts w:hint="eastAsia"/>
          <w:szCs w:val="21"/>
          <w:lang w:val="en-US" w:eastAsia="zh-CN"/>
        </w:rPr>
        <w:t>9.2</w:t>
      </w:r>
      <w:r>
        <w:rPr>
          <w:rFonts w:hint="eastAsia" w:ascii="宋体"/>
          <w:szCs w:val="21"/>
        </w:rPr>
        <w:t xml:space="preserve">因投标人对现场进行踏勘而引起的人身伤亡、财产损失和其他风险，招标人不负任何责任。 </w:t>
      </w:r>
    </w:p>
    <w:p>
      <w:pPr>
        <w:spacing w:line="440" w:lineRule="exact"/>
        <w:ind w:firstLine="429" w:firstLineChars="195"/>
        <w:rPr>
          <w:rFonts w:hint="eastAsia" w:ascii="宋体"/>
          <w:szCs w:val="21"/>
        </w:rPr>
      </w:pPr>
      <w:r>
        <w:rPr>
          <w:rFonts w:hint="eastAsia"/>
          <w:szCs w:val="21"/>
          <w:lang w:val="en-US" w:eastAsia="zh-CN"/>
        </w:rPr>
        <w:t>9.3</w:t>
      </w:r>
      <w:r>
        <w:rPr>
          <w:rFonts w:hint="eastAsia" w:ascii="宋体"/>
          <w:szCs w:val="21"/>
        </w:rPr>
        <w:t>中标后签定合同时和监理过程中，投标人不得以不完全了解现场情况为由，提出任何形式的变更招标文件内容的要求。</w:t>
      </w:r>
    </w:p>
    <w:p>
      <w:pPr>
        <w:spacing w:line="440" w:lineRule="exact"/>
        <w:ind w:firstLine="442" w:firstLineChars="200"/>
        <w:rPr>
          <w:rFonts w:hint="eastAsia"/>
          <w:b/>
          <w:szCs w:val="21"/>
        </w:rPr>
      </w:pPr>
      <w:r>
        <w:rPr>
          <w:rFonts w:hint="eastAsia"/>
          <w:b/>
          <w:szCs w:val="21"/>
        </w:rPr>
        <w:t>10. 投标预备会</w:t>
      </w:r>
      <w:bookmarkEnd w:id="15"/>
      <w:bookmarkEnd w:id="16"/>
      <w:bookmarkEnd w:id="17"/>
      <w:bookmarkEnd w:id="18"/>
      <w:bookmarkEnd w:id="19"/>
      <w:bookmarkEnd w:id="20"/>
      <w:bookmarkEnd w:id="21"/>
    </w:p>
    <w:p>
      <w:pPr>
        <w:spacing w:line="440" w:lineRule="exact"/>
        <w:ind w:firstLine="429" w:firstLineChars="195"/>
        <w:rPr>
          <w:rFonts w:hint="eastAsia" w:ascii="宋体"/>
          <w:szCs w:val="21"/>
        </w:rPr>
      </w:pPr>
      <w:r>
        <w:rPr>
          <w:rFonts w:hint="eastAsia"/>
          <w:szCs w:val="21"/>
          <w:lang w:val="en-US" w:eastAsia="zh-CN"/>
        </w:rPr>
        <w:t>10.1</w:t>
      </w:r>
      <w:r>
        <w:rPr>
          <w:rFonts w:hint="eastAsia" w:ascii="宋体"/>
          <w:szCs w:val="21"/>
        </w:rPr>
        <w:t>投标预备会，不再集中召开投标预备会。</w:t>
      </w:r>
    </w:p>
    <w:p>
      <w:pPr>
        <w:spacing w:line="440" w:lineRule="exact"/>
        <w:ind w:firstLine="442" w:firstLineChars="200"/>
        <w:rPr>
          <w:rFonts w:hint="eastAsia"/>
          <w:b/>
          <w:szCs w:val="21"/>
        </w:rPr>
      </w:pPr>
      <w:r>
        <w:rPr>
          <w:rFonts w:hint="eastAsia"/>
          <w:b/>
          <w:szCs w:val="21"/>
        </w:rPr>
        <w:t>11. 联合投标（不采用）</w:t>
      </w:r>
    </w:p>
    <w:p>
      <w:pPr>
        <w:spacing w:line="440" w:lineRule="exact"/>
        <w:ind w:firstLine="429" w:firstLineChars="195"/>
        <w:rPr>
          <w:rFonts w:hint="eastAsia" w:ascii="宋体"/>
          <w:szCs w:val="21"/>
        </w:rPr>
      </w:pPr>
      <w:r>
        <w:rPr>
          <w:rFonts w:hint="eastAsia" w:ascii="宋体"/>
          <w:szCs w:val="21"/>
        </w:rPr>
        <w:t>11.1 两个以上投标人可以组成一个投标联合体，以一个投标人的身份投标。以联合体形式参加投标的，联合体各方均应当符合《政府采购法》第二十二条规定的条件。招标人根据采购项目的特殊要求规定投标人特定条件的，联合体各方中至少应当有一方符合招标人规定的特定条件。</w:t>
      </w:r>
    </w:p>
    <w:p>
      <w:pPr>
        <w:spacing w:line="400" w:lineRule="exact"/>
        <w:ind w:firstLine="429" w:firstLineChars="195"/>
        <w:rPr>
          <w:rFonts w:hint="eastAsia" w:ascii="宋体"/>
          <w:szCs w:val="21"/>
        </w:rPr>
      </w:pPr>
      <w:r>
        <w:rPr>
          <w:rFonts w:hint="eastAsia" w:ascii="宋体"/>
          <w:szCs w:val="21"/>
        </w:rPr>
        <w:t>11.2联合体各方之间应当签订共同投标协议，明确约定联合体各方承担的工作和相应的责任，并将共同投标协议连同投标文件一并提交招标人。联合体各方签订共同投标协议后，不得再以自己名义单独在同一项目中投标，也不得组成新的联合体参加同一项目投标。</w:t>
      </w:r>
    </w:p>
    <w:p>
      <w:pPr>
        <w:spacing w:line="400" w:lineRule="exact"/>
        <w:ind w:firstLine="431" w:firstLineChars="196"/>
        <w:rPr>
          <w:rFonts w:ascii="宋体"/>
          <w:szCs w:val="21"/>
        </w:rPr>
      </w:pPr>
      <w:r>
        <w:rPr>
          <w:rFonts w:hint="eastAsia" w:ascii="宋体"/>
          <w:szCs w:val="21"/>
        </w:rPr>
        <w:t>11</w:t>
      </w:r>
      <w:r>
        <w:rPr>
          <w:rFonts w:ascii="宋体"/>
          <w:szCs w:val="21"/>
        </w:rPr>
        <w:t>.</w:t>
      </w:r>
      <w:r>
        <w:rPr>
          <w:rFonts w:hint="eastAsia" w:ascii="宋体"/>
          <w:szCs w:val="21"/>
        </w:rPr>
        <w:t>3 联合体应当确定其中一个单位为投标的全权代表，负责参加投标的一切事务，并承担投标及履约中应承担的全部责任与义务。</w:t>
      </w:r>
    </w:p>
    <w:p>
      <w:pPr>
        <w:pStyle w:val="11"/>
        <w:spacing w:after="0" w:line="400" w:lineRule="exact"/>
        <w:ind w:left="0" w:leftChars="0" w:firstLine="444" w:firstLineChars="202"/>
        <w:rPr>
          <w:rFonts w:hint="eastAsia" w:ascii="宋体"/>
          <w:szCs w:val="21"/>
        </w:rPr>
      </w:pPr>
      <w:r>
        <w:rPr>
          <w:rFonts w:hint="eastAsia" w:ascii="宋体"/>
          <w:szCs w:val="21"/>
        </w:rPr>
        <w:t>11</w:t>
      </w:r>
      <w:r>
        <w:rPr>
          <w:rFonts w:ascii="宋体"/>
          <w:szCs w:val="21"/>
        </w:rPr>
        <w:t>.</w:t>
      </w:r>
      <w:r>
        <w:rPr>
          <w:rFonts w:hint="eastAsia" w:ascii="宋体"/>
          <w:szCs w:val="21"/>
        </w:rPr>
        <w:t>4 联合体各方应当共同与招标人签订采购合同，就采购合同约定的事项对招标人承担连带责任。</w:t>
      </w:r>
    </w:p>
    <w:p>
      <w:pPr>
        <w:spacing w:line="440" w:lineRule="exact"/>
        <w:ind w:firstLine="433" w:firstLineChars="196"/>
        <w:jc w:val="left"/>
        <w:rPr>
          <w:rFonts w:hint="eastAsia" w:ascii="宋体"/>
          <w:bCs/>
          <w:szCs w:val="21"/>
        </w:rPr>
      </w:pPr>
      <w:r>
        <w:rPr>
          <w:rFonts w:hint="eastAsia" w:ascii="宋体"/>
          <w:b/>
          <w:szCs w:val="21"/>
        </w:rPr>
        <w:t>12.招标代理费及专家评审费见投标须知前附表。</w:t>
      </w:r>
    </w:p>
    <w:p>
      <w:pPr>
        <w:spacing w:line="440" w:lineRule="exact"/>
        <w:ind w:firstLine="442" w:firstLineChars="200"/>
        <w:rPr>
          <w:rFonts w:hint="eastAsia"/>
          <w:b/>
          <w:szCs w:val="21"/>
        </w:rPr>
      </w:pPr>
      <w:r>
        <w:rPr>
          <w:rFonts w:hint="eastAsia"/>
          <w:b/>
          <w:szCs w:val="21"/>
        </w:rPr>
        <w:t>13.投标人应注意的事项</w:t>
      </w:r>
    </w:p>
    <w:p>
      <w:pPr>
        <w:spacing w:line="440" w:lineRule="exact"/>
        <w:ind w:firstLine="440" w:firstLineChars="200"/>
        <w:rPr>
          <w:rFonts w:hint="eastAsia" w:ascii="宋体"/>
          <w:bCs/>
          <w:szCs w:val="21"/>
        </w:rPr>
      </w:pPr>
      <w:r>
        <w:rPr>
          <w:rFonts w:hint="eastAsia" w:ascii="宋体" w:hAnsi="宋体"/>
          <w:szCs w:val="21"/>
        </w:rPr>
        <w:t>13.1投标人一旦按规定缴纳了投标保证金并参加投标，即被认为接受了本交易文件中的所有条件和规定。投标人必须严格按交易文件的要求编制投标文件，投标文件宜编制页码和目录，以便评委审核。否则，由此产生的一切后果由投标人承担。具体封装要求见</w:t>
      </w:r>
      <w:r>
        <w:rPr>
          <w:rFonts w:hint="eastAsia" w:ascii="宋体"/>
          <w:bCs/>
          <w:szCs w:val="21"/>
        </w:rPr>
        <w:t>本章第26条。</w:t>
      </w:r>
    </w:p>
    <w:p>
      <w:pPr>
        <w:spacing w:line="440" w:lineRule="exact"/>
        <w:ind w:firstLine="440" w:firstLineChars="200"/>
        <w:rPr>
          <w:rFonts w:hint="eastAsia" w:ascii="宋体"/>
          <w:bCs/>
          <w:color w:val="auto"/>
          <w:szCs w:val="21"/>
          <w:highlight w:val="none"/>
        </w:rPr>
      </w:pPr>
      <w:r>
        <w:rPr>
          <w:rFonts w:hint="eastAsia" w:ascii="宋体"/>
          <w:bCs/>
          <w:color w:val="auto"/>
          <w:szCs w:val="21"/>
          <w:highlight w:val="none"/>
        </w:rPr>
        <w:t>13.2法定代表人参加开标会议，应携带本人身份证；委托代理人参加开标会议应携带法定代表人授权书和本人身份证。</w:t>
      </w:r>
    </w:p>
    <w:p>
      <w:pPr>
        <w:spacing w:line="440" w:lineRule="exact"/>
        <w:ind w:firstLine="440" w:firstLineChars="200"/>
        <w:rPr>
          <w:rFonts w:hint="eastAsia" w:ascii="宋体"/>
          <w:bCs/>
          <w:szCs w:val="21"/>
        </w:rPr>
      </w:pPr>
      <w:r>
        <w:rPr>
          <w:rFonts w:hint="eastAsia" w:ascii="宋体"/>
          <w:bCs/>
          <w:szCs w:val="21"/>
        </w:rPr>
        <w:t>13.3</w:t>
      </w:r>
      <w:r>
        <w:rPr>
          <w:rFonts w:hint="eastAsia" w:ascii="宋体"/>
          <w:bCs/>
          <w:color w:val="auto"/>
          <w:szCs w:val="21"/>
          <w:highlight w:val="none"/>
        </w:rPr>
        <w:t xml:space="preserve"> 投标人对</w:t>
      </w:r>
      <w:r>
        <w:rPr>
          <w:rFonts w:hint="eastAsia"/>
          <w:bCs/>
          <w:color w:val="auto"/>
          <w:szCs w:val="21"/>
          <w:highlight w:val="none"/>
          <w:lang w:val="en-US" w:eastAsia="zh-CN"/>
        </w:rPr>
        <w:t>服务</w:t>
      </w:r>
      <w:r>
        <w:rPr>
          <w:rFonts w:hint="eastAsia" w:ascii="宋体"/>
          <w:bCs/>
          <w:color w:val="auto"/>
          <w:szCs w:val="21"/>
          <w:highlight w:val="none"/>
        </w:rPr>
        <w:t>内容中规定的要求必须完全响应或优于交易文件中的要求。</w:t>
      </w:r>
    </w:p>
    <w:p>
      <w:pPr>
        <w:spacing w:line="440" w:lineRule="exact"/>
        <w:ind w:firstLine="431" w:firstLineChars="196"/>
        <w:rPr>
          <w:rFonts w:hint="eastAsia" w:ascii="宋体"/>
          <w:bCs/>
          <w:szCs w:val="21"/>
        </w:rPr>
      </w:pPr>
      <w:r>
        <w:rPr>
          <w:rFonts w:hint="eastAsia" w:ascii="宋体"/>
          <w:bCs/>
          <w:szCs w:val="21"/>
        </w:rPr>
        <w:t>13.4 所有投标人的投标保证金都应在交易文件规定的投标保证金缴纳截止日期前缴纳，以资金到账时间为准。</w:t>
      </w:r>
    </w:p>
    <w:p>
      <w:pPr>
        <w:wordWrap w:val="0"/>
        <w:spacing w:line="440" w:lineRule="exact"/>
        <w:ind w:firstLine="440" w:firstLineChars="200"/>
        <w:rPr>
          <w:rFonts w:hint="eastAsia" w:ascii="宋体"/>
          <w:bCs/>
          <w:szCs w:val="21"/>
        </w:rPr>
      </w:pPr>
      <w:r>
        <w:rPr>
          <w:rFonts w:hint="eastAsia" w:ascii="宋体"/>
          <w:bCs/>
          <w:szCs w:val="21"/>
        </w:rPr>
        <w:t>13</w:t>
      </w:r>
      <w:r>
        <w:rPr>
          <w:rFonts w:hint="eastAsia" w:ascii="宋体"/>
          <w:bCs/>
          <w:szCs w:val="21"/>
          <w:lang w:val="en-US" w:eastAsia="zh-CN"/>
        </w:rPr>
        <w:t>.</w:t>
      </w:r>
      <w:r>
        <w:rPr>
          <w:rFonts w:hint="eastAsia"/>
          <w:bCs/>
          <w:szCs w:val="21"/>
          <w:lang w:val="en-US" w:eastAsia="zh-CN"/>
        </w:rPr>
        <w:t>5</w:t>
      </w:r>
      <w:r>
        <w:rPr>
          <w:rFonts w:hint="eastAsia" w:ascii="宋体"/>
          <w:bCs/>
          <w:szCs w:val="21"/>
        </w:rPr>
        <w:t xml:space="preserve">  投标人被视为充分熟悉本招标项目所在地的与履行合同有关的各种情况，包括但不限于：</w:t>
      </w:r>
    </w:p>
    <w:p>
      <w:pPr>
        <w:spacing w:line="400" w:lineRule="exact"/>
        <w:ind w:firstLine="330" w:firstLineChars="150"/>
        <w:rPr>
          <w:rFonts w:hint="eastAsia" w:ascii="宋体"/>
          <w:bCs/>
          <w:szCs w:val="21"/>
        </w:rPr>
      </w:pPr>
      <w:r>
        <w:rPr>
          <w:rFonts w:hint="eastAsia" w:ascii="宋体"/>
          <w:bCs/>
          <w:szCs w:val="21"/>
        </w:rPr>
        <w:t>（1）国家对本次投标有关法律、法规及行业管理标准；</w:t>
      </w:r>
    </w:p>
    <w:p>
      <w:pPr>
        <w:spacing w:line="400" w:lineRule="exact"/>
        <w:ind w:firstLine="330" w:firstLineChars="150"/>
        <w:rPr>
          <w:rFonts w:hint="eastAsia" w:ascii="宋体"/>
          <w:bCs/>
          <w:szCs w:val="21"/>
        </w:rPr>
      </w:pPr>
      <w:r>
        <w:rPr>
          <w:rFonts w:hint="eastAsia" w:ascii="宋体"/>
          <w:bCs/>
          <w:szCs w:val="21"/>
        </w:rPr>
        <w:t>（2）安徽省及滁州市等有关管理部门的相关规定；</w:t>
      </w:r>
    </w:p>
    <w:p>
      <w:pPr>
        <w:spacing w:line="400" w:lineRule="exact"/>
        <w:ind w:firstLine="330" w:firstLineChars="150"/>
        <w:rPr>
          <w:rFonts w:hint="eastAsia" w:ascii="宋体"/>
          <w:bCs/>
          <w:szCs w:val="21"/>
        </w:rPr>
      </w:pPr>
      <w:r>
        <w:rPr>
          <w:rFonts w:hint="eastAsia" w:ascii="宋体"/>
          <w:bCs/>
          <w:szCs w:val="21"/>
        </w:rPr>
        <w:t>（3）招标人的相关场地情况、基础建设、电力供应情况及相关设计标准。</w:t>
      </w:r>
    </w:p>
    <w:p>
      <w:pPr>
        <w:spacing w:line="400" w:lineRule="exact"/>
        <w:ind w:firstLine="330" w:firstLineChars="150"/>
        <w:rPr>
          <w:rFonts w:hint="eastAsia" w:ascii="宋体"/>
          <w:bCs/>
          <w:szCs w:val="21"/>
        </w:rPr>
      </w:pPr>
      <w:r>
        <w:rPr>
          <w:rFonts w:hint="eastAsia" w:ascii="宋体"/>
          <w:bCs/>
          <w:szCs w:val="21"/>
        </w:rPr>
        <w:t>本交易文件不再对上述情况进行描述。</w:t>
      </w:r>
    </w:p>
    <w:p>
      <w:pPr>
        <w:spacing w:before="312" w:beforeLines="100" w:after="312" w:afterLines="100" w:line="440" w:lineRule="exact"/>
        <w:jc w:val="center"/>
        <w:outlineLvl w:val="2"/>
        <w:rPr>
          <w:rFonts w:hint="eastAsia" w:ascii="宋体"/>
          <w:b/>
          <w:sz w:val="28"/>
          <w:szCs w:val="28"/>
        </w:rPr>
      </w:pPr>
      <w:bookmarkStart w:id="22" w:name="_Toc469495725"/>
      <w:r>
        <w:rPr>
          <w:rFonts w:hint="eastAsia" w:ascii="宋体"/>
          <w:b/>
          <w:sz w:val="28"/>
          <w:szCs w:val="28"/>
        </w:rPr>
        <w:t>（二）交易文件</w:t>
      </w:r>
      <w:bookmarkEnd w:id="22"/>
    </w:p>
    <w:p>
      <w:pPr>
        <w:spacing w:line="440" w:lineRule="exact"/>
        <w:ind w:firstLine="442" w:firstLineChars="200"/>
        <w:rPr>
          <w:rFonts w:hint="eastAsia"/>
          <w:b/>
          <w:szCs w:val="21"/>
        </w:rPr>
      </w:pPr>
      <w:r>
        <w:rPr>
          <w:rFonts w:hint="eastAsia"/>
          <w:b/>
          <w:szCs w:val="21"/>
        </w:rPr>
        <w:t>15. 交易文件的编制依据</w:t>
      </w:r>
    </w:p>
    <w:p>
      <w:pPr>
        <w:spacing w:line="440" w:lineRule="exact"/>
        <w:ind w:firstLine="440" w:firstLineChars="200"/>
        <w:rPr>
          <w:rFonts w:hint="eastAsia" w:ascii="宋体"/>
          <w:szCs w:val="21"/>
        </w:rPr>
      </w:pPr>
      <w:r>
        <w:rPr>
          <w:rFonts w:hint="eastAsia" w:ascii="宋体"/>
          <w:szCs w:val="21"/>
        </w:rPr>
        <w:t>根据《中华人民共和国招标投标法及其实施条例》、《工程建设项目施工招标投标办法》（七部委联合部令第 30 号）、《</w:t>
      </w:r>
      <w:r>
        <w:rPr>
          <w:rFonts w:hint="eastAsia"/>
          <w:szCs w:val="21"/>
          <w:lang w:eastAsia="zh-CN"/>
        </w:rPr>
        <w:t>评标小组</w:t>
      </w:r>
      <w:r>
        <w:rPr>
          <w:rFonts w:hint="eastAsia" w:ascii="宋体"/>
          <w:szCs w:val="21"/>
        </w:rPr>
        <w:t>和评标方法暂行规定》（七部委联合部令第 12 号）等相关法律法规和规章及部、省、市级规范性文件的规定，编制本招标文件。</w:t>
      </w:r>
    </w:p>
    <w:p>
      <w:pPr>
        <w:spacing w:line="440" w:lineRule="exact"/>
        <w:ind w:firstLine="442" w:firstLineChars="200"/>
        <w:rPr>
          <w:rFonts w:hint="eastAsia"/>
          <w:b/>
          <w:szCs w:val="21"/>
        </w:rPr>
      </w:pPr>
      <w:r>
        <w:rPr>
          <w:rFonts w:hint="eastAsia"/>
          <w:b/>
          <w:szCs w:val="21"/>
        </w:rPr>
        <w:t>16. 交易文件的组成</w:t>
      </w:r>
    </w:p>
    <w:p>
      <w:pPr>
        <w:spacing w:line="440" w:lineRule="exact"/>
        <w:ind w:firstLine="440" w:firstLineChars="200"/>
        <w:rPr>
          <w:rFonts w:hint="eastAsia" w:ascii="宋体"/>
          <w:szCs w:val="21"/>
        </w:rPr>
      </w:pPr>
      <w:r>
        <w:rPr>
          <w:rFonts w:hint="eastAsia" w:ascii="宋体"/>
          <w:szCs w:val="21"/>
        </w:rPr>
        <w:t>16.1 交易文件包括内容：</w:t>
      </w:r>
    </w:p>
    <w:p>
      <w:pPr>
        <w:spacing w:line="440" w:lineRule="exact"/>
        <w:ind w:firstLine="1540" w:firstLineChars="700"/>
        <w:rPr>
          <w:rFonts w:hint="eastAsia" w:ascii="宋体"/>
          <w:color w:val="auto"/>
          <w:szCs w:val="21"/>
          <w:highlight w:val="none"/>
        </w:rPr>
      </w:pPr>
      <w:r>
        <w:rPr>
          <w:rFonts w:hint="eastAsia" w:ascii="宋体"/>
          <w:color w:val="auto"/>
          <w:szCs w:val="21"/>
          <w:highlight w:val="none"/>
        </w:rPr>
        <w:t>第一章  招标公告</w:t>
      </w:r>
    </w:p>
    <w:p>
      <w:pPr>
        <w:spacing w:line="440" w:lineRule="exact"/>
        <w:ind w:firstLine="1540" w:firstLineChars="700"/>
        <w:rPr>
          <w:rFonts w:hint="eastAsia" w:ascii="宋体"/>
          <w:color w:val="auto"/>
          <w:szCs w:val="21"/>
          <w:highlight w:val="none"/>
        </w:rPr>
      </w:pPr>
      <w:r>
        <w:rPr>
          <w:rFonts w:hint="eastAsia" w:ascii="宋体"/>
          <w:color w:val="auto"/>
          <w:szCs w:val="21"/>
          <w:highlight w:val="none"/>
        </w:rPr>
        <w:t>第二章  投标须知</w:t>
      </w:r>
    </w:p>
    <w:p>
      <w:pPr>
        <w:spacing w:line="440" w:lineRule="exact"/>
        <w:ind w:firstLine="1540" w:firstLineChars="700"/>
        <w:rPr>
          <w:rFonts w:hint="eastAsia" w:ascii="宋体"/>
          <w:color w:val="auto"/>
          <w:szCs w:val="21"/>
          <w:highlight w:val="none"/>
        </w:rPr>
      </w:pPr>
      <w:r>
        <w:rPr>
          <w:rFonts w:hint="eastAsia" w:ascii="宋体"/>
          <w:color w:val="auto"/>
          <w:szCs w:val="21"/>
          <w:highlight w:val="none"/>
        </w:rPr>
        <w:t>第三章  评标办法</w:t>
      </w:r>
    </w:p>
    <w:p>
      <w:pPr>
        <w:spacing w:line="440" w:lineRule="exact"/>
        <w:ind w:firstLine="1540" w:firstLineChars="700"/>
        <w:rPr>
          <w:rFonts w:hint="default" w:eastAsia="宋体"/>
          <w:color w:val="auto"/>
          <w:highlight w:val="none"/>
          <w:lang w:val="en-US" w:eastAsia="zh-CN"/>
        </w:rPr>
      </w:pPr>
      <w:r>
        <w:rPr>
          <w:rFonts w:hint="eastAsia" w:ascii="宋体"/>
          <w:color w:val="auto"/>
          <w:szCs w:val="21"/>
          <w:highlight w:val="none"/>
        </w:rPr>
        <w:t xml:space="preserve">第四章  </w:t>
      </w:r>
      <w:r>
        <w:rPr>
          <w:rFonts w:hint="eastAsia"/>
          <w:color w:val="auto"/>
          <w:szCs w:val="21"/>
          <w:highlight w:val="none"/>
          <w:lang w:val="en-US" w:eastAsia="zh-CN"/>
        </w:rPr>
        <w:t>技术规范</w:t>
      </w:r>
    </w:p>
    <w:p>
      <w:pPr>
        <w:spacing w:line="440" w:lineRule="exact"/>
        <w:ind w:firstLine="1540" w:firstLineChars="700"/>
        <w:rPr>
          <w:rFonts w:hint="eastAsia" w:ascii="宋体"/>
          <w:szCs w:val="21"/>
          <w:highlight w:val="none"/>
        </w:rPr>
      </w:pPr>
      <w:r>
        <w:rPr>
          <w:rFonts w:hint="eastAsia" w:ascii="宋体"/>
          <w:szCs w:val="21"/>
          <w:highlight w:val="none"/>
        </w:rPr>
        <w:t>第</w:t>
      </w:r>
      <w:r>
        <w:rPr>
          <w:rFonts w:hint="eastAsia"/>
          <w:szCs w:val="21"/>
          <w:highlight w:val="none"/>
          <w:lang w:val="en-US" w:eastAsia="zh-CN"/>
        </w:rPr>
        <w:t>五</w:t>
      </w:r>
      <w:r>
        <w:rPr>
          <w:rFonts w:hint="eastAsia" w:ascii="宋体"/>
          <w:szCs w:val="21"/>
          <w:highlight w:val="none"/>
        </w:rPr>
        <w:t>章  合同条款及格式</w:t>
      </w:r>
    </w:p>
    <w:p>
      <w:pPr>
        <w:spacing w:line="440" w:lineRule="exact"/>
        <w:ind w:firstLine="1540" w:firstLineChars="700"/>
        <w:rPr>
          <w:rFonts w:hint="eastAsia" w:ascii="宋体"/>
          <w:szCs w:val="21"/>
          <w:highlight w:val="none"/>
        </w:rPr>
      </w:pPr>
      <w:r>
        <w:rPr>
          <w:rFonts w:hint="eastAsia" w:ascii="宋体"/>
          <w:szCs w:val="21"/>
          <w:highlight w:val="none"/>
        </w:rPr>
        <w:t>第</w:t>
      </w:r>
      <w:r>
        <w:rPr>
          <w:rFonts w:hint="eastAsia"/>
          <w:szCs w:val="21"/>
          <w:highlight w:val="none"/>
          <w:lang w:val="en-US" w:eastAsia="zh-CN"/>
        </w:rPr>
        <w:t>六</w:t>
      </w:r>
      <w:r>
        <w:rPr>
          <w:rFonts w:hint="eastAsia" w:ascii="宋体"/>
          <w:szCs w:val="21"/>
          <w:highlight w:val="none"/>
        </w:rPr>
        <w:t>章  投标文件格式文本</w:t>
      </w:r>
    </w:p>
    <w:p>
      <w:pPr>
        <w:spacing w:line="440" w:lineRule="exact"/>
        <w:ind w:firstLine="1540" w:firstLineChars="700"/>
        <w:rPr>
          <w:rFonts w:hint="eastAsia" w:ascii="宋体"/>
          <w:szCs w:val="21"/>
          <w:highlight w:val="none"/>
        </w:rPr>
      </w:pPr>
      <w:r>
        <w:rPr>
          <w:rFonts w:hint="eastAsia" w:ascii="宋体"/>
          <w:szCs w:val="21"/>
          <w:highlight w:val="none"/>
        </w:rPr>
        <w:t>第</w:t>
      </w:r>
      <w:r>
        <w:rPr>
          <w:rFonts w:hint="eastAsia"/>
          <w:szCs w:val="21"/>
          <w:highlight w:val="none"/>
          <w:lang w:val="en-US" w:eastAsia="zh-CN"/>
        </w:rPr>
        <w:t>七</w:t>
      </w:r>
      <w:r>
        <w:rPr>
          <w:rFonts w:hint="eastAsia" w:ascii="宋体"/>
          <w:szCs w:val="21"/>
          <w:highlight w:val="none"/>
        </w:rPr>
        <w:t>章  招标单位、招标代理机构对本文件的确认</w:t>
      </w:r>
    </w:p>
    <w:p>
      <w:pPr>
        <w:spacing w:line="440" w:lineRule="exact"/>
        <w:rPr>
          <w:rFonts w:hint="eastAsia" w:ascii="宋体"/>
          <w:szCs w:val="21"/>
        </w:rPr>
      </w:pPr>
      <w:r>
        <w:rPr>
          <w:rFonts w:hint="eastAsia" w:ascii="宋体"/>
          <w:szCs w:val="21"/>
        </w:rPr>
        <w:t xml:space="preserve">   16.2 除16.1内容外，招标答疑亦为交易文件的组成部分，对招标人和投标人起约束作用。</w:t>
      </w:r>
    </w:p>
    <w:p>
      <w:pPr>
        <w:pStyle w:val="13"/>
        <w:wordWrap w:val="0"/>
        <w:spacing w:line="400" w:lineRule="exact"/>
        <w:rPr>
          <w:rFonts w:hint="eastAsia" w:ascii="宋体"/>
          <w:szCs w:val="21"/>
        </w:rPr>
      </w:pPr>
      <w:r>
        <w:rPr>
          <w:rFonts w:hint="eastAsia"/>
          <w:szCs w:val="21"/>
        </w:rPr>
        <w:t xml:space="preserve">   16.3投标人应仔细阅读和检查交易文件的全部内容。如发现缺页或附件不全，应及时向采购人提出，以便补齐。</w:t>
      </w:r>
    </w:p>
    <w:p>
      <w:pPr>
        <w:spacing w:line="440" w:lineRule="exact"/>
        <w:ind w:firstLine="442" w:firstLineChars="200"/>
        <w:rPr>
          <w:rFonts w:hint="eastAsia" w:ascii="宋体"/>
          <w:b/>
          <w:bCs/>
          <w:szCs w:val="21"/>
        </w:rPr>
      </w:pPr>
      <w:r>
        <w:rPr>
          <w:rFonts w:hint="eastAsia" w:ascii="宋体"/>
          <w:b/>
          <w:bCs/>
          <w:szCs w:val="21"/>
        </w:rPr>
        <w:t>17. 交易文件的修改、补充、解释</w:t>
      </w:r>
    </w:p>
    <w:p>
      <w:pPr>
        <w:wordWrap w:val="0"/>
        <w:spacing w:line="400" w:lineRule="exact"/>
        <w:ind w:firstLine="330" w:firstLineChars="150"/>
        <w:rPr>
          <w:rFonts w:hint="eastAsia" w:ascii="宋体" w:hAnsi="宋体"/>
          <w:szCs w:val="21"/>
        </w:rPr>
      </w:pPr>
      <w:r>
        <w:rPr>
          <w:rFonts w:hint="eastAsia" w:ascii="宋体" w:hAnsi="宋体"/>
          <w:sz w:val="22"/>
          <w:szCs w:val="22"/>
        </w:rPr>
        <w:t>17.1交易文件发出后，招标人在规定的投标截止时间前可对交易文件进行必要的修改和补充，并以澄清公告形式在</w:t>
      </w:r>
      <w:r>
        <w:rPr>
          <w:rFonts w:hint="eastAsia" w:ascii="宋体" w:hAnsi="宋体" w:eastAsia="宋体" w:cs="宋体"/>
          <w:color w:val="auto"/>
          <w:sz w:val="22"/>
          <w:szCs w:val="22"/>
          <w:highlight w:val="none"/>
        </w:rPr>
        <w:t>滁州市琅琊山风景名胜区管理委员会</w:t>
      </w:r>
      <w:r>
        <w:rPr>
          <w:rFonts w:hint="eastAsia" w:ascii="宋体" w:hAnsi="宋体" w:cs="宋体"/>
          <w:color w:val="auto"/>
          <w:sz w:val="22"/>
          <w:szCs w:val="22"/>
          <w:highlight w:val="none"/>
        </w:rPr>
        <w:t>网站（http://lgw.chuzhou.gov.cn/index.html）</w:t>
      </w:r>
      <w:r>
        <w:rPr>
          <w:rFonts w:hint="eastAsia" w:ascii="宋体" w:hAnsi="宋体"/>
          <w:kern w:val="0"/>
          <w:sz w:val="22"/>
          <w:szCs w:val="22"/>
          <w:highlight w:val="none"/>
        </w:rPr>
        <w:t>下载</w:t>
      </w:r>
      <w:r>
        <w:rPr>
          <w:rFonts w:hint="eastAsia" w:ascii="宋体" w:hAnsi="宋体"/>
          <w:sz w:val="22"/>
          <w:szCs w:val="22"/>
          <w:highlight w:val="none"/>
        </w:rPr>
        <w:t>予以公告，</w:t>
      </w:r>
      <w:r>
        <w:rPr>
          <w:rFonts w:hint="eastAsia" w:ascii="宋体" w:hAnsi="宋体"/>
          <w:sz w:val="22"/>
          <w:szCs w:val="22"/>
        </w:rPr>
        <w:t>请各位投标人注意查看有关澄清内容，如不及时查看造成后果由投标人自负。交易文件的修改、补充等内容作为交易文件的组成部分，具有约束作用。</w:t>
      </w:r>
    </w:p>
    <w:p>
      <w:pPr>
        <w:spacing w:line="400" w:lineRule="exact"/>
        <w:ind w:firstLine="330" w:firstLineChars="150"/>
        <w:rPr>
          <w:rFonts w:ascii="宋体" w:hAnsi="宋体"/>
          <w:szCs w:val="21"/>
        </w:rPr>
      </w:pPr>
      <w:r>
        <w:rPr>
          <w:rFonts w:hint="eastAsia" w:ascii="宋体" w:hAnsi="宋体"/>
          <w:szCs w:val="21"/>
        </w:rPr>
        <w:t>17</w:t>
      </w:r>
      <w:r>
        <w:rPr>
          <w:rFonts w:ascii="宋体" w:hAnsi="宋体"/>
          <w:szCs w:val="21"/>
        </w:rPr>
        <w:t>.</w:t>
      </w:r>
      <w:r>
        <w:rPr>
          <w:rFonts w:hint="eastAsia" w:ascii="宋体" w:hAnsi="宋体"/>
          <w:szCs w:val="21"/>
        </w:rPr>
        <w:t>2 投标人应在投标截止时间前关注</w:t>
      </w:r>
      <w:r>
        <w:rPr>
          <w:rFonts w:hint="eastAsia" w:ascii="宋体" w:hAnsi="宋体"/>
          <w:szCs w:val="21"/>
          <w:highlight w:val="none"/>
        </w:rPr>
        <w:t>原信息发布媒体上有关本招标项目有无变更公告。如不</w:t>
      </w:r>
      <w:r>
        <w:rPr>
          <w:rFonts w:hint="eastAsia" w:ascii="宋体" w:hAnsi="宋体"/>
          <w:szCs w:val="21"/>
        </w:rPr>
        <w:t>及时查看造成后果由投标人自负。</w:t>
      </w:r>
    </w:p>
    <w:p>
      <w:pPr>
        <w:spacing w:line="400" w:lineRule="exact"/>
        <w:ind w:firstLine="440" w:firstLineChars="200"/>
        <w:rPr>
          <w:rFonts w:hint="eastAsia" w:ascii="宋体" w:hAnsi="宋体"/>
          <w:bCs/>
          <w:szCs w:val="21"/>
        </w:rPr>
      </w:pPr>
      <w:r>
        <w:rPr>
          <w:rFonts w:hint="eastAsia" w:ascii="宋体" w:hAnsi="宋体"/>
          <w:bCs/>
          <w:szCs w:val="21"/>
        </w:rPr>
        <w:t>17.3 交易文件的解释</w:t>
      </w:r>
    </w:p>
    <w:p>
      <w:pPr>
        <w:spacing w:line="400" w:lineRule="exact"/>
        <w:ind w:firstLine="440" w:firstLineChars="200"/>
        <w:rPr>
          <w:rFonts w:hint="eastAsia" w:ascii="宋体" w:hAnsi="宋体"/>
          <w:szCs w:val="21"/>
        </w:rPr>
      </w:pPr>
      <w:r>
        <w:rPr>
          <w:rFonts w:hint="eastAsia" w:ascii="宋体" w:hAnsi="宋体"/>
          <w:szCs w:val="21"/>
        </w:rPr>
        <w:t>本交易文件由招标人（或其委托的招标代理机构）负责解释。</w:t>
      </w:r>
    </w:p>
    <w:p>
      <w:pPr>
        <w:spacing w:line="400" w:lineRule="exact"/>
        <w:rPr>
          <w:rFonts w:ascii="宋体" w:hAnsi="宋体"/>
          <w:b/>
          <w:szCs w:val="21"/>
        </w:rPr>
      </w:pPr>
      <w:r>
        <w:rPr>
          <w:rFonts w:hint="eastAsia" w:ascii="宋体" w:hAnsi="宋体" w:cs="宋体"/>
          <w:b/>
          <w:szCs w:val="21"/>
        </w:rPr>
        <w:t xml:space="preserve">   </w:t>
      </w:r>
      <w:r>
        <w:rPr>
          <w:rFonts w:hint="eastAsia"/>
          <w:b/>
          <w:szCs w:val="21"/>
        </w:rPr>
        <w:t xml:space="preserve">18. </w:t>
      </w:r>
      <w:r>
        <w:rPr>
          <w:rFonts w:hint="eastAsia" w:ascii="宋体" w:hAnsi="宋体"/>
          <w:b/>
          <w:szCs w:val="21"/>
        </w:rPr>
        <w:t>交易文件的发出</w:t>
      </w:r>
    </w:p>
    <w:p>
      <w:pPr>
        <w:spacing w:line="400" w:lineRule="exact"/>
        <w:ind w:firstLine="330" w:firstLineChars="150"/>
        <w:rPr>
          <w:rFonts w:ascii="宋体" w:hAnsi="宋体"/>
          <w:szCs w:val="21"/>
        </w:rPr>
      </w:pPr>
      <w:r>
        <w:rPr>
          <w:rFonts w:hint="eastAsia"/>
          <w:szCs w:val="21"/>
          <w:lang w:val="en-US" w:eastAsia="zh-CN"/>
        </w:rPr>
        <w:t>交易</w:t>
      </w:r>
      <w:r>
        <w:rPr>
          <w:rFonts w:ascii="宋体" w:hAnsi="宋体"/>
          <w:szCs w:val="21"/>
        </w:rPr>
        <w:t>文件、</w:t>
      </w:r>
      <w:r>
        <w:rPr>
          <w:rFonts w:hint="eastAsia"/>
          <w:szCs w:val="21"/>
          <w:lang w:val="en-US" w:eastAsia="zh-CN"/>
        </w:rPr>
        <w:t>交易</w:t>
      </w:r>
      <w:r>
        <w:rPr>
          <w:rFonts w:ascii="宋体" w:hAnsi="宋体"/>
          <w:szCs w:val="21"/>
        </w:rPr>
        <w:t xml:space="preserve">文件的澄清、修改、补充及招标答疑等均应报招投标监督管理机构备案后，方可发出。 </w:t>
      </w:r>
    </w:p>
    <w:p>
      <w:pPr>
        <w:spacing w:line="400" w:lineRule="exact"/>
        <w:ind w:firstLine="331" w:firstLineChars="150"/>
        <w:rPr>
          <w:rFonts w:ascii="宋体" w:hAnsi="宋体"/>
          <w:b/>
          <w:bCs/>
          <w:szCs w:val="21"/>
        </w:rPr>
      </w:pPr>
      <w:r>
        <w:rPr>
          <w:rFonts w:hint="eastAsia"/>
          <w:b/>
          <w:bCs/>
          <w:szCs w:val="21"/>
          <w:lang w:val="en-US" w:eastAsia="zh-CN"/>
        </w:rPr>
        <w:t>19.交易</w:t>
      </w:r>
      <w:r>
        <w:rPr>
          <w:rFonts w:ascii="宋体" w:hAnsi="宋体"/>
          <w:b/>
          <w:bCs/>
          <w:szCs w:val="21"/>
        </w:rPr>
        <w:t xml:space="preserve">文件的补充 </w:t>
      </w:r>
    </w:p>
    <w:p>
      <w:pPr>
        <w:spacing w:line="400" w:lineRule="exact"/>
        <w:ind w:firstLine="330" w:firstLineChars="150"/>
        <w:rPr>
          <w:rFonts w:ascii="宋体" w:hAnsi="宋体"/>
          <w:szCs w:val="21"/>
        </w:rPr>
      </w:pPr>
      <w:r>
        <w:rPr>
          <w:rFonts w:ascii="宋体" w:hAnsi="宋体"/>
          <w:szCs w:val="21"/>
        </w:rPr>
        <w:t xml:space="preserve">投标文件是投标人的承诺，一旦中标，投标文件即成为合同文件的组成部分。凡未经业主同意，对投标文件中的承诺作任何变动（包括拟派项目总监理工程师、专业监理工程师、监理员等）即视为违约，业主有权没收其履约保证金或取消其参与本项目施工监理的资格。 </w:t>
      </w:r>
    </w:p>
    <w:p>
      <w:pPr>
        <w:spacing w:line="400" w:lineRule="exact"/>
        <w:ind w:firstLine="330" w:firstLineChars="150"/>
        <w:rPr>
          <w:rFonts w:hint="eastAsia" w:ascii="宋体"/>
          <w:szCs w:val="21"/>
        </w:rPr>
      </w:pPr>
      <w:r>
        <w:rPr>
          <w:rFonts w:ascii="宋体" w:hAnsi="宋体"/>
          <w:szCs w:val="21"/>
        </w:rPr>
        <w:t>投标人应承担其编制投标文件以及递交投标文件所涉及的一切费用，无论投标结果如何，招标人对上述费用不负任何责任。投标人的投标书一律不退还，请各投标人自留投标书拷贝。</w:t>
      </w:r>
      <w:bookmarkStart w:id="23" w:name="_Toc469495726"/>
    </w:p>
    <w:p>
      <w:pPr>
        <w:spacing w:before="312" w:beforeLines="100" w:after="312" w:afterLines="100" w:line="440" w:lineRule="exact"/>
        <w:jc w:val="center"/>
        <w:outlineLvl w:val="2"/>
        <w:rPr>
          <w:rFonts w:hint="eastAsia" w:ascii="宋体"/>
          <w:b/>
          <w:sz w:val="28"/>
          <w:szCs w:val="28"/>
        </w:rPr>
      </w:pPr>
      <w:r>
        <w:rPr>
          <w:rFonts w:hint="eastAsia" w:ascii="宋体"/>
          <w:b/>
          <w:sz w:val="28"/>
          <w:szCs w:val="28"/>
        </w:rPr>
        <w:t>（三）投标文件的编制</w:t>
      </w:r>
      <w:bookmarkEnd w:id="23"/>
    </w:p>
    <w:p>
      <w:pPr>
        <w:spacing w:line="440" w:lineRule="exact"/>
        <w:ind w:firstLine="320" w:firstLineChars="145"/>
        <w:rPr>
          <w:rFonts w:hint="eastAsia" w:ascii="宋体" w:cs="宋体"/>
          <w:b/>
          <w:szCs w:val="21"/>
        </w:rPr>
      </w:pPr>
      <w:r>
        <w:rPr>
          <w:rFonts w:hint="eastAsia"/>
          <w:b/>
          <w:szCs w:val="21"/>
        </w:rPr>
        <w:t xml:space="preserve">20. </w:t>
      </w:r>
      <w:r>
        <w:rPr>
          <w:rFonts w:hint="eastAsia" w:ascii="宋体" w:cs="宋体"/>
          <w:b/>
          <w:szCs w:val="21"/>
        </w:rPr>
        <w:t>投标的语言及度量衡单位</w:t>
      </w:r>
    </w:p>
    <w:p>
      <w:pPr>
        <w:spacing w:line="440" w:lineRule="exact"/>
        <w:ind w:firstLine="297" w:firstLineChars="135"/>
        <w:rPr>
          <w:rFonts w:hint="eastAsia" w:ascii="宋体"/>
          <w:szCs w:val="21"/>
        </w:rPr>
      </w:pPr>
      <w:r>
        <w:rPr>
          <w:rFonts w:hint="eastAsia" w:ascii="宋体"/>
          <w:szCs w:val="21"/>
        </w:rPr>
        <w:t>20.1</w:t>
      </w:r>
      <w:r>
        <w:rPr>
          <w:rFonts w:ascii="宋体" w:hAnsi="宋体"/>
          <w:szCs w:val="21"/>
        </w:rPr>
        <w:t>投标人</w:t>
      </w:r>
      <w:r>
        <w:rPr>
          <w:rFonts w:hint="eastAsia" w:ascii="宋体" w:hAnsi="宋体"/>
          <w:szCs w:val="21"/>
        </w:rPr>
        <w:t>提交的投标文件和</w:t>
      </w:r>
      <w:r>
        <w:rPr>
          <w:rFonts w:hint="eastAsia"/>
          <w:szCs w:val="21"/>
          <w:lang w:val="en-US" w:eastAsia="zh-CN"/>
        </w:rPr>
        <w:t>原件</w:t>
      </w:r>
      <w:r>
        <w:rPr>
          <w:rFonts w:hint="eastAsia" w:ascii="宋体" w:hAnsi="宋体"/>
          <w:szCs w:val="21"/>
        </w:rPr>
        <w:t>资料，以及投标人与招标人就有关投标的所有来往函电均应使用中文。投标文件中若有英文或其他语言文字的资料，应提供相应的中文翻译资料。对不同文本投标文件的解释发生异议的，以中文文本为准。</w:t>
      </w:r>
    </w:p>
    <w:p>
      <w:pPr>
        <w:spacing w:line="440" w:lineRule="exact"/>
        <w:ind w:firstLine="297" w:firstLineChars="135"/>
        <w:rPr>
          <w:rFonts w:hint="eastAsia" w:ascii="宋体"/>
          <w:szCs w:val="21"/>
        </w:rPr>
      </w:pPr>
      <w:r>
        <w:rPr>
          <w:rFonts w:hint="eastAsia" w:ascii="宋体"/>
          <w:szCs w:val="21"/>
        </w:rPr>
        <w:t xml:space="preserve"> 20.2除交易文件中另有规定外，投标书所使用的度量衡均须采用法定计量单位。</w:t>
      </w:r>
    </w:p>
    <w:p>
      <w:pPr>
        <w:spacing w:line="400" w:lineRule="exact"/>
        <w:ind w:firstLine="216" w:firstLineChars="98"/>
        <w:rPr>
          <w:rFonts w:hint="eastAsia" w:hAnsi="宋体" w:eastAsia="宋体"/>
          <w:szCs w:val="21"/>
          <w:lang w:val="en-US" w:eastAsia="zh-CN"/>
        </w:rPr>
      </w:pPr>
      <w:r>
        <w:rPr>
          <w:rFonts w:hint="eastAsia"/>
          <w:b/>
          <w:szCs w:val="21"/>
        </w:rPr>
        <w:t xml:space="preserve">21. </w:t>
      </w:r>
      <w:r>
        <w:rPr>
          <w:rFonts w:hint="eastAsia" w:ascii="宋体" w:hAnsi="宋体"/>
          <w:b/>
          <w:szCs w:val="21"/>
        </w:rPr>
        <w:t>投标文件的组成</w:t>
      </w:r>
    </w:p>
    <w:p>
      <w:pPr>
        <w:spacing w:line="400" w:lineRule="exact"/>
        <w:ind w:firstLine="220" w:firstLineChars="100"/>
        <w:rPr>
          <w:rFonts w:hint="default" w:ascii="宋体" w:eastAsia="宋体"/>
          <w:szCs w:val="21"/>
          <w:lang w:val="en-US" w:eastAsia="zh-CN"/>
        </w:rPr>
      </w:pPr>
      <w:r>
        <w:rPr>
          <w:rFonts w:hint="eastAsia" w:ascii="宋体"/>
          <w:szCs w:val="21"/>
        </w:rPr>
        <w:t>（1）</w:t>
      </w:r>
      <w:r>
        <w:rPr>
          <w:rFonts w:hint="eastAsia"/>
          <w:szCs w:val="21"/>
          <w:lang w:val="en-US" w:eastAsia="zh-CN"/>
        </w:rPr>
        <w:t>入库中标通知书复印件加盖公章；</w:t>
      </w:r>
    </w:p>
    <w:p>
      <w:pPr>
        <w:spacing w:line="400" w:lineRule="exact"/>
        <w:ind w:firstLine="220" w:firstLineChars="100"/>
        <w:rPr>
          <w:rFonts w:hint="eastAsia" w:ascii="宋体"/>
          <w:szCs w:val="21"/>
        </w:rPr>
      </w:pPr>
      <w:r>
        <w:rPr>
          <w:rFonts w:hint="eastAsia" w:ascii="宋体"/>
          <w:szCs w:val="21"/>
        </w:rPr>
        <w:t>（2）</w:t>
      </w:r>
      <w:r>
        <w:rPr>
          <w:rFonts w:hint="eastAsia"/>
          <w:szCs w:val="21"/>
          <w:lang w:val="en-US" w:eastAsia="zh-CN"/>
        </w:rPr>
        <w:t>投标报价</w:t>
      </w:r>
      <w:r>
        <w:rPr>
          <w:rFonts w:hint="eastAsia"/>
          <w:szCs w:val="21"/>
          <w:highlight w:val="none"/>
          <w:lang w:val="en-US" w:eastAsia="zh-CN"/>
        </w:rPr>
        <w:t>函</w:t>
      </w:r>
      <w:r>
        <w:rPr>
          <w:rFonts w:hint="eastAsia"/>
          <w:szCs w:val="21"/>
          <w:lang w:val="en-US" w:eastAsia="zh-CN"/>
        </w:rPr>
        <w:t>（格式见附件）提供原件要求签字盖章</w:t>
      </w:r>
    </w:p>
    <w:p>
      <w:pPr>
        <w:spacing w:line="440" w:lineRule="exact"/>
        <w:ind w:firstLine="440" w:firstLineChars="200"/>
        <w:rPr>
          <w:rFonts w:hint="eastAsia" w:ascii="宋体"/>
          <w:szCs w:val="21"/>
        </w:rPr>
      </w:pPr>
      <w:r>
        <w:rPr>
          <w:rFonts w:hint="eastAsia" w:ascii="宋体"/>
          <w:szCs w:val="21"/>
        </w:rPr>
        <w:t>21.</w:t>
      </w:r>
      <w:r>
        <w:rPr>
          <w:rFonts w:hint="eastAsia" w:ascii="宋体"/>
          <w:szCs w:val="21"/>
          <w:lang w:val="en-US" w:eastAsia="zh-CN"/>
        </w:rPr>
        <w:t>2</w:t>
      </w:r>
      <w:r>
        <w:rPr>
          <w:rFonts w:hint="eastAsia" w:ascii="宋体"/>
          <w:szCs w:val="21"/>
        </w:rPr>
        <w:t>投标文件的编制</w:t>
      </w:r>
    </w:p>
    <w:p>
      <w:pPr>
        <w:spacing w:line="440" w:lineRule="exact"/>
        <w:ind w:firstLine="440" w:firstLineChars="200"/>
        <w:rPr>
          <w:rFonts w:hint="eastAsia" w:ascii="宋体"/>
          <w:szCs w:val="21"/>
        </w:rPr>
      </w:pPr>
      <w:r>
        <w:rPr>
          <w:rFonts w:hint="eastAsia" w:ascii="宋体"/>
          <w:szCs w:val="21"/>
        </w:rPr>
        <w:t>投标文件应按第六章“投标文件格式文本”进行编写，如有必要，可以增加附页，作为投标文件的组成部分。</w:t>
      </w:r>
    </w:p>
    <w:p>
      <w:pPr>
        <w:spacing w:line="440" w:lineRule="exact"/>
        <w:ind w:firstLine="442" w:firstLineChars="200"/>
        <w:rPr>
          <w:rFonts w:hint="eastAsia" w:ascii="宋体"/>
          <w:szCs w:val="21"/>
        </w:rPr>
      </w:pPr>
      <w:r>
        <w:rPr>
          <w:rFonts w:hint="eastAsia" w:ascii="宋体"/>
          <w:b/>
          <w:szCs w:val="21"/>
        </w:rPr>
        <w:t>22</w:t>
      </w:r>
      <w:r>
        <w:rPr>
          <w:rFonts w:hint="eastAsia" w:ascii="宋体"/>
          <w:szCs w:val="21"/>
        </w:rPr>
        <w:t>.</w:t>
      </w:r>
      <w:r>
        <w:rPr>
          <w:rFonts w:hint="eastAsia" w:ascii="宋体"/>
          <w:b/>
          <w:szCs w:val="21"/>
        </w:rPr>
        <w:t>投标报价</w:t>
      </w:r>
    </w:p>
    <w:p>
      <w:pPr>
        <w:spacing w:line="440" w:lineRule="exact"/>
        <w:ind w:firstLine="440" w:firstLineChars="200"/>
        <w:rPr>
          <w:rFonts w:hint="eastAsia" w:ascii="宋体"/>
          <w:szCs w:val="21"/>
        </w:rPr>
      </w:pPr>
      <w:r>
        <w:rPr>
          <w:rFonts w:hint="eastAsia" w:ascii="宋体"/>
          <w:szCs w:val="21"/>
        </w:rPr>
        <w:t>22.1投标人只允许有一个方案、一个报价。</w:t>
      </w:r>
    </w:p>
    <w:p>
      <w:pPr>
        <w:spacing w:line="440" w:lineRule="exact"/>
        <w:ind w:firstLine="440" w:firstLineChars="200"/>
        <w:rPr>
          <w:rFonts w:hint="eastAsia" w:ascii="宋体"/>
          <w:szCs w:val="21"/>
        </w:rPr>
      </w:pPr>
      <w:r>
        <w:rPr>
          <w:rFonts w:hint="eastAsia" w:ascii="宋体"/>
          <w:szCs w:val="21"/>
        </w:rPr>
        <w:t>22.2招标文件中规定的有关费用应包括在投标价格中。投标文件报价为含税价，招标人不再为此次招标支付任何费用。</w:t>
      </w:r>
    </w:p>
    <w:p>
      <w:pPr>
        <w:spacing w:line="440" w:lineRule="exact"/>
        <w:ind w:firstLine="440" w:firstLineChars="200"/>
        <w:rPr>
          <w:rFonts w:hint="eastAsia" w:ascii="宋体"/>
          <w:szCs w:val="21"/>
        </w:rPr>
      </w:pPr>
      <w:r>
        <w:rPr>
          <w:rFonts w:hint="eastAsia" w:ascii="宋体"/>
          <w:szCs w:val="21"/>
        </w:rPr>
        <w:t>22.3投标报价应由法定代表人或被授权人签署。</w:t>
      </w:r>
    </w:p>
    <w:p>
      <w:pPr>
        <w:spacing w:line="440" w:lineRule="exact"/>
        <w:ind w:firstLine="442" w:firstLineChars="200"/>
        <w:rPr>
          <w:rFonts w:hint="eastAsia" w:ascii="宋体"/>
          <w:b/>
          <w:szCs w:val="21"/>
        </w:rPr>
      </w:pPr>
      <w:r>
        <w:rPr>
          <w:rFonts w:hint="eastAsia" w:ascii="宋体"/>
          <w:b/>
          <w:szCs w:val="21"/>
        </w:rPr>
        <w:t>23. 投标有效期</w:t>
      </w:r>
    </w:p>
    <w:p>
      <w:pPr>
        <w:spacing w:line="440" w:lineRule="exact"/>
        <w:ind w:firstLine="440" w:firstLineChars="200"/>
        <w:rPr>
          <w:rFonts w:hint="eastAsia" w:ascii="宋体"/>
          <w:szCs w:val="21"/>
        </w:rPr>
      </w:pPr>
      <w:r>
        <w:rPr>
          <w:rFonts w:hint="eastAsia" w:ascii="宋体"/>
          <w:szCs w:val="21"/>
        </w:rPr>
        <w:t>23.1 除投标人须知前附表另有规定外，投标有效期为60天。</w:t>
      </w:r>
    </w:p>
    <w:p>
      <w:pPr>
        <w:spacing w:line="440" w:lineRule="exact"/>
        <w:ind w:firstLine="440" w:firstLineChars="200"/>
        <w:rPr>
          <w:rFonts w:hint="eastAsia" w:ascii="宋体"/>
          <w:szCs w:val="21"/>
        </w:rPr>
      </w:pPr>
      <w:r>
        <w:rPr>
          <w:rFonts w:hint="eastAsia" w:ascii="宋体"/>
          <w:szCs w:val="21"/>
        </w:rPr>
        <w:t>23.2在投标有效期内，投标人撤销或修改其投标文件的，应承担交易文件和法律规定的责任。</w:t>
      </w:r>
    </w:p>
    <w:p>
      <w:pPr>
        <w:spacing w:line="440" w:lineRule="exact"/>
        <w:ind w:firstLine="440" w:firstLineChars="200"/>
        <w:rPr>
          <w:rFonts w:hint="eastAsia" w:ascii="宋体"/>
          <w:szCs w:val="21"/>
        </w:rPr>
      </w:pPr>
      <w:r>
        <w:rPr>
          <w:rFonts w:hint="eastAsia" w:ascii="宋体"/>
          <w:szCs w:val="21"/>
        </w:rPr>
        <w:t>23.3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440" w:lineRule="exact"/>
        <w:ind w:firstLine="424" w:firstLineChars="192"/>
        <w:rPr>
          <w:rFonts w:hint="eastAsia" w:ascii="宋体"/>
          <w:b/>
          <w:szCs w:val="21"/>
        </w:rPr>
      </w:pPr>
      <w:r>
        <w:rPr>
          <w:rFonts w:hint="eastAsia" w:ascii="宋体"/>
          <w:b/>
          <w:szCs w:val="21"/>
        </w:rPr>
        <w:t>24. 投标保证金</w:t>
      </w:r>
    </w:p>
    <w:p>
      <w:pPr>
        <w:spacing w:line="400" w:lineRule="exact"/>
        <w:ind w:firstLine="442" w:firstLineChars="200"/>
        <w:rPr>
          <w:rFonts w:hint="eastAsia" w:ascii="宋体" w:hAnsi="宋体" w:cs="宋体"/>
          <w:kern w:val="0"/>
          <w:szCs w:val="21"/>
          <w:shd w:val="clear" w:color="auto" w:fill="FFFFFF"/>
          <w:lang w:eastAsia="zh-CN" w:bidi="ar"/>
        </w:rPr>
      </w:pPr>
      <w:r>
        <w:rPr>
          <w:rFonts w:hint="eastAsia" w:ascii="宋体" w:hAnsi="宋体" w:cs="宋体"/>
          <w:b/>
          <w:bCs/>
          <w:lang w:val="en-US" w:eastAsia="zh-CN"/>
        </w:rPr>
        <w:t>24.1</w:t>
      </w:r>
      <w:r>
        <w:rPr>
          <w:rFonts w:hint="eastAsia" w:ascii="宋体" w:hAnsi="宋体" w:cs="宋体"/>
          <w:b w:val="0"/>
          <w:bCs w:val="0"/>
          <w:color w:val="auto"/>
          <w:highlight w:val="none"/>
        </w:rPr>
        <w:t>投标保证金：</w:t>
      </w:r>
      <w:r>
        <w:rPr>
          <w:rFonts w:hint="eastAsia" w:cs="宋体"/>
          <w:b w:val="0"/>
          <w:bCs w:val="0"/>
          <w:color w:val="auto"/>
          <w:highlight w:val="none"/>
          <w:u w:val="none"/>
          <w:lang w:val="en-US" w:eastAsia="zh-CN"/>
        </w:rPr>
        <w:t>本项目无需缴纳保证金。</w:t>
      </w:r>
    </w:p>
    <w:p>
      <w:pPr>
        <w:spacing w:line="440" w:lineRule="exact"/>
        <w:jc w:val="center"/>
        <w:outlineLvl w:val="2"/>
        <w:rPr>
          <w:rFonts w:hint="eastAsia" w:ascii="黑体" w:eastAsia="黑体"/>
          <w:sz w:val="28"/>
          <w:szCs w:val="28"/>
        </w:rPr>
      </w:pPr>
      <w:bookmarkStart w:id="24" w:name="_Toc469495727"/>
      <w:r>
        <w:rPr>
          <w:rFonts w:hint="eastAsia" w:ascii="黑体" w:eastAsia="黑体"/>
          <w:sz w:val="28"/>
          <w:szCs w:val="28"/>
        </w:rPr>
        <w:t>（四）投标文件的密封和递交</w:t>
      </w:r>
      <w:bookmarkEnd w:id="24"/>
    </w:p>
    <w:p>
      <w:pPr>
        <w:spacing w:line="440" w:lineRule="exact"/>
        <w:rPr>
          <w:rFonts w:hint="eastAsia" w:ascii="黑体" w:eastAsia="黑体"/>
          <w:b/>
          <w:szCs w:val="21"/>
        </w:rPr>
      </w:pPr>
      <w:r>
        <w:rPr>
          <w:rFonts w:hint="eastAsia" w:ascii="黑体" w:eastAsia="黑体"/>
          <w:b/>
          <w:sz w:val="24"/>
        </w:rPr>
        <w:t xml:space="preserve">  </w:t>
      </w:r>
      <w:r>
        <w:rPr>
          <w:rFonts w:hint="eastAsia" w:ascii="黑体" w:eastAsia="黑体"/>
          <w:b/>
          <w:szCs w:val="21"/>
        </w:rPr>
        <w:t xml:space="preserve"> 25. 投标文件的份数和签署</w:t>
      </w:r>
    </w:p>
    <w:p>
      <w:pPr>
        <w:spacing w:line="400" w:lineRule="exact"/>
        <w:ind w:firstLine="440" w:firstLineChars="200"/>
        <w:jc w:val="left"/>
        <w:rPr>
          <w:rFonts w:hint="eastAsia" w:ascii="宋体" w:cs="宋体"/>
        </w:rPr>
      </w:pPr>
      <w:r>
        <w:rPr>
          <w:rFonts w:hint="eastAsia" w:ascii="宋体"/>
          <w:szCs w:val="21"/>
        </w:rPr>
        <w:t xml:space="preserve">25.1  </w:t>
      </w:r>
      <w:r>
        <w:rPr>
          <w:rFonts w:hint="eastAsia" w:ascii="宋体" w:hAnsi="宋体"/>
          <w:b/>
          <w:szCs w:val="21"/>
        </w:rPr>
        <w:t>投标文件份数：</w:t>
      </w:r>
      <w:r>
        <w:rPr>
          <w:rFonts w:hint="eastAsia" w:ascii="宋体" w:cs="宋体"/>
        </w:rPr>
        <w:t>书面文件正本</w:t>
      </w:r>
      <w:r>
        <w:rPr>
          <w:rFonts w:hint="eastAsia" w:ascii="宋体" w:cs="宋体"/>
          <w:u w:val="single"/>
        </w:rPr>
        <w:t xml:space="preserve"> 一 </w:t>
      </w:r>
      <w:r>
        <w:rPr>
          <w:rFonts w:hint="eastAsia" w:ascii="宋体" w:cs="宋体"/>
        </w:rPr>
        <w:t>份</w:t>
      </w:r>
      <w:r>
        <w:rPr>
          <w:rFonts w:hint="eastAsia" w:cs="宋体"/>
          <w:lang w:eastAsia="zh-CN"/>
        </w:rPr>
        <w:t>，副本</w:t>
      </w:r>
      <w:r>
        <w:rPr>
          <w:rFonts w:hint="eastAsia" w:ascii="宋体" w:cs="宋体"/>
          <w:u w:val="single"/>
        </w:rPr>
        <w:t xml:space="preserve"> 一 </w:t>
      </w:r>
      <w:r>
        <w:rPr>
          <w:rFonts w:hint="eastAsia" w:ascii="宋体" w:cs="宋体"/>
        </w:rPr>
        <w:t>份。</w:t>
      </w:r>
    </w:p>
    <w:p>
      <w:pPr>
        <w:spacing w:line="400" w:lineRule="exact"/>
        <w:ind w:firstLine="440" w:firstLineChars="200"/>
        <w:jc w:val="left"/>
        <w:rPr>
          <w:rFonts w:hint="eastAsia" w:ascii="宋体" w:cs="宋体"/>
        </w:rPr>
      </w:pPr>
      <w:r>
        <w:rPr>
          <w:rFonts w:hint="eastAsia" w:ascii="宋体" w:cs="宋体"/>
          <w:lang w:val="en-US" w:eastAsia="zh-CN"/>
        </w:rPr>
        <w:t>25</w:t>
      </w:r>
      <w:r>
        <w:rPr>
          <w:rFonts w:hint="eastAsia" w:ascii="宋体" w:cs="宋体"/>
        </w:rPr>
        <w:t>.2  投标文件的正本需打印或使用不褪色的蓝、黑墨水笔书写，字迹应清晰易于辩认，并应在投标文件封面的右上角清楚地注明“正本”。</w:t>
      </w:r>
    </w:p>
    <w:p>
      <w:pPr>
        <w:spacing w:line="400" w:lineRule="exact"/>
        <w:ind w:firstLine="440" w:firstLineChars="200"/>
        <w:jc w:val="left"/>
        <w:rPr>
          <w:rFonts w:hint="eastAsia" w:ascii="宋体" w:cs="宋体"/>
          <w:spacing w:val="-4"/>
        </w:rPr>
      </w:pPr>
      <w:r>
        <w:rPr>
          <w:rFonts w:hint="eastAsia" w:ascii="宋体" w:cs="宋体"/>
          <w:lang w:val="en-US" w:eastAsia="zh-CN"/>
        </w:rPr>
        <w:t>25</w:t>
      </w:r>
      <w:r>
        <w:rPr>
          <w:rFonts w:hint="eastAsia" w:ascii="宋体" w:cs="宋体"/>
        </w:rPr>
        <w:t xml:space="preserve">.3 </w:t>
      </w:r>
      <w:r>
        <w:rPr>
          <w:rFonts w:hint="eastAsia" w:cs="宋体"/>
          <w:lang w:val="en-US" w:eastAsia="zh-CN"/>
        </w:rPr>
        <w:t>投标报价函</w:t>
      </w:r>
      <w:r>
        <w:rPr>
          <w:rFonts w:hint="eastAsia" w:ascii="宋体" w:cs="宋体"/>
        </w:rPr>
        <w:t>应当在格式文本要求的相应位置签字和盖章，否则，应当否决其投标。</w:t>
      </w:r>
    </w:p>
    <w:p>
      <w:pPr>
        <w:spacing w:line="400" w:lineRule="exact"/>
        <w:ind w:firstLine="442" w:firstLineChars="200"/>
        <w:jc w:val="left"/>
        <w:rPr>
          <w:rFonts w:hint="eastAsia" w:ascii="宋体" w:cs="宋体"/>
          <w:b/>
          <w:bCs/>
        </w:rPr>
      </w:pPr>
      <w:r>
        <w:rPr>
          <w:rFonts w:hint="eastAsia" w:ascii="宋体" w:cs="宋体"/>
          <w:b/>
          <w:bCs/>
          <w:lang w:val="en-US" w:eastAsia="zh-CN"/>
        </w:rPr>
        <w:t>26</w:t>
      </w:r>
      <w:r>
        <w:rPr>
          <w:rFonts w:hint="eastAsia" w:ascii="宋体" w:cs="宋体"/>
          <w:b/>
          <w:bCs/>
        </w:rPr>
        <w:t>.   投标文件的装订、密封和标记</w:t>
      </w:r>
    </w:p>
    <w:p>
      <w:pPr>
        <w:spacing w:line="400" w:lineRule="exact"/>
        <w:ind w:firstLine="440" w:firstLineChars="200"/>
        <w:jc w:val="left"/>
        <w:rPr>
          <w:rFonts w:hint="eastAsia" w:ascii="宋体" w:cs="宋体"/>
        </w:rPr>
      </w:pPr>
      <w:r>
        <w:rPr>
          <w:rFonts w:hint="eastAsia" w:ascii="宋体" w:cs="宋体"/>
          <w:lang w:val="en-US" w:eastAsia="zh-CN"/>
        </w:rPr>
        <w:t>26</w:t>
      </w:r>
      <w:r>
        <w:rPr>
          <w:rFonts w:hint="eastAsia" w:ascii="宋体" w:cs="宋体"/>
        </w:rPr>
        <w:t>..1  投标文件的装订要求</w:t>
      </w:r>
    </w:p>
    <w:p>
      <w:pPr>
        <w:spacing w:line="400" w:lineRule="exact"/>
        <w:ind w:firstLine="440" w:firstLineChars="200"/>
        <w:jc w:val="left"/>
        <w:rPr>
          <w:rFonts w:hint="eastAsia" w:ascii="宋体" w:eastAsia="宋体" w:cs="宋体"/>
          <w:lang w:eastAsia="zh-CN"/>
        </w:rPr>
      </w:pPr>
      <w:r>
        <w:rPr>
          <w:rFonts w:hint="eastAsia" w:ascii="宋体" w:cs="宋体"/>
          <w:lang w:val="en-US" w:eastAsia="zh-CN"/>
        </w:rPr>
        <w:t>26</w:t>
      </w:r>
      <w:r>
        <w:rPr>
          <w:rFonts w:hint="eastAsia" w:ascii="宋体" w:cs="宋体"/>
        </w:rPr>
        <w:t>.1.1投标文件的</w:t>
      </w:r>
      <w:r>
        <w:rPr>
          <w:rFonts w:hint="eastAsia" w:cs="宋体"/>
          <w:highlight w:val="none"/>
          <w:lang w:val="en-US" w:eastAsia="zh-CN"/>
        </w:rPr>
        <w:t>须要装订</w:t>
      </w:r>
      <w:r>
        <w:rPr>
          <w:rFonts w:hint="eastAsia" w:ascii="宋体" w:cs="宋体"/>
        </w:rPr>
        <w:t>。</w:t>
      </w:r>
    </w:p>
    <w:p>
      <w:pPr>
        <w:spacing w:line="400" w:lineRule="exact"/>
        <w:ind w:firstLine="440" w:firstLineChars="200"/>
        <w:jc w:val="left"/>
        <w:rPr>
          <w:rFonts w:hint="eastAsia" w:ascii="宋体" w:cs="宋体"/>
        </w:rPr>
      </w:pPr>
      <w:r>
        <w:rPr>
          <w:rFonts w:hint="eastAsia" w:ascii="宋体" w:cs="宋体"/>
          <w:lang w:val="en-US" w:eastAsia="zh-CN"/>
        </w:rPr>
        <w:t>26</w:t>
      </w:r>
      <w:r>
        <w:rPr>
          <w:rFonts w:hint="eastAsia" w:ascii="宋体" w:cs="宋体"/>
        </w:rPr>
        <w:t>.2  投标文件的密封</w:t>
      </w:r>
    </w:p>
    <w:p>
      <w:pPr>
        <w:spacing w:line="400" w:lineRule="exact"/>
        <w:ind w:firstLine="440" w:firstLineChars="200"/>
        <w:jc w:val="left"/>
        <w:rPr>
          <w:rFonts w:hint="eastAsia" w:ascii="宋体" w:cs="宋体"/>
        </w:rPr>
      </w:pPr>
      <w:r>
        <w:rPr>
          <w:rFonts w:hint="eastAsia" w:ascii="宋体" w:cs="宋体"/>
          <w:lang w:val="en-US" w:eastAsia="zh-CN"/>
        </w:rPr>
        <w:t>26</w:t>
      </w:r>
      <w:r>
        <w:rPr>
          <w:rFonts w:hint="eastAsia" w:ascii="宋体" w:cs="宋体"/>
        </w:rPr>
        <w:t>.2.1投标人应当</w:t>
      </w:r>
      <w:r>
        <w:rPr>
          <w:rFonts w:hint="eastAsia" w:cs="宋体"/>
          <w:lang w:val="en-US" w:eastAsia="zh-CN"/>
        </w:rPr>
        <w:t>所有投标文件装订好</w:t>
      </w:r>
      <w:r>
        <w:rPr>
          <w:rFonts w:hint="eastAsia" w:ascii="宋体" w:cs="宋体"/>
          <w:highlight w:val="none"/>
        </w:rPr>
        <w:t>密封在</w:t>
      </w:r>
      <w:r>
        <w:rPr>
          <w:rFonts w:hint="eastAsia" w:cs="宋体"/>
          <w:highlight w:val="none"/>
          <w:lang w:val="en-US" w:eastAsia="zh-CN"/>
        </w:rPr>
        <w:t>一个档案</w:t>
      </w:r>
      <w:r>
        <w:rPr>
          <w:rFonts w:hint="eastAsia" w:ascii="宋体" w:cs="宋体"/>
          <w:highlight w:val="none"/>
        </w:rPr>
        <w:t>袋内</w:t>
      </w:r>
      <w:r>
        <w:rPr>
          <w:rFonts w:hint="eastAsia" w:ascii="宋体" w:cs="宋体"/>
        </w:rPr>
        <w:t>。</w:t>
      </w:r>
    </w:p>
    <w:p>
      <w:pPr>
        <w:spacing w:line="400" w:lineRule="exact"/>
        <w:ind w:firstLine="440" w:firstLineChars="200"/>
        <w:jc w:val="left"/>
        <w:rPr>
          <w:rFonts w:hint="eastAsia" w:ascii="宋体" w:cs="宋体"/>
        </w:rPr>
      </w:pPr>
      <w:r>
        <w:rPr>
          <w:rFonts w:hint="eastAsia" w:ascii="宋体" w:cs="宋体"/>
          <w:lang w:val="en-US" w:eastAsia="zh-CN"/>
        </w:rPr>
        <w:t>26</w:t>
      </w:r>
      <w:r>
        <w:rPr>
          <w:rFonts w:hint="eastAsia" w:ascii="宋体" w:cs="宋体"/>
        </w:rPr>
        <w:t>.3  投标文件密封袋的标记</w:t>
      </w:r>
    </w:p>
    <w:p>
      <w:pPr>
        <w:spacing w:line="400" w:lineRule="exact"/>
        <w:ind w:firstLine="440" w:firstLineChars="200"/>
        <w:jc w:val="left"/>
        <w:rPr>
          <w:rFonts w:hint="eastAsia" w:ascii="宋体" w:cs="宋体"/>
        </w:rPr>
      </w:pPr>
      <w:r>
        <w:rPr>
          <w:rFonts w:hint="eastAsia" w:ascii="宋体" w:cs="宋体"/>
          <w:lang w:val="en-US" w:eastAsia="zh-CN"/>
        </w:rPr>
        <w:t>26</w:t>
      </w:r>
      <w:r>
        <w:rPr>
          <w:rFonts w:hint="eastAsia" w:ascii="宋体" w:cs="宋体"/>
        </w:rPr>
        <w:t>.3.1在投标文件密封袋上应写明投标人名称和地址、邮政编码；注明下列识别标志：招标工程名称。</w:t>
      </w:r>
    </w:p>
    <w:p>
      <w:pPr>
        <w:spacing w:line="400" w:lineRule="exact"/>
        <w:ind w:firstLine="440" w:firstLineChars="200"/>
        <w:jc w:val="left"/>
        <w:rPr>
          <w:rFonts w:hint="eastAsia" w:ascii="宋体" w:cs="宋体"/>
        </w:rPr>
      </w:pPr>
      <w:r>
        <w:rPr>
          <w:rFonts w:hint="eastAsia" w:ascii="宋体" w:cs="宋体"/>
          <w:lang w:val="en-US" w:eastAsia="zh-CN"/>
        </w:rPr>
        <w:t>26</w:t>
      </w:r>
      <w:r>
        <w:rPr>
          <w:rFonts w:hint="eastAsia" w:ascii="宋体" w:cs="宋体"/>
        </w:rPr>
        <w:t>.3.2投标文件的密封袋应加盖投标人印章；否则，该投标文件将被拒绝。</w:t>
      </w:r>
    </w:p>
    <w:p>
      <w:pPr>
        <w:spacing w:line="400" w:lineRule="exact"/>
        <w:ind w:firstLine="442" w:firstLineChars="200"/>
        <w:jc w:val="left"/>
        <w:rPr>
          <w:rFonts w:hint="eastAsia" w:ascii="宋体" w:cs="宋体"/>
          <w:b/>
          <w:bCs/>
        </w:rPr>
      </w:pPr>
      <w:r>
        <w:rPr>
          <w:rFonts w:hint="eastAsia" w:ascii="宋体" w:cs="宋体"/>
          <w:b/>
          <w:bCs/>
          <w:lang w:val="en-US" w:eastAsia="zh-CN"/>
        </w:rPr>
        <w:t>27</w:t>
      </w:r>
      <w:r>
        <w:rPr>
          <w:rFonts w:hint="eastAsia" w:ascii="宋体" w:cs="宋体"/>
          <w:b/>
          <w:bCs/>
        </w:rPr>
        <w:t>.   投标文件的提交</w:t>
      </w:r>
    </w:p>
    <w:p>
      <w:pPr>
        <w:spacing w:line="400" w:lineRule="exact"/>
        <w:ind w:firstLine="440" w:firstLineChars="200"/>
        <w:rPr>
          <w:rFonts w:hint="eastAsia" w:ascii="宋体" w:cs="宋体"/>
        </w:rPr>
      </w:pPr>
      <w:r>
        <w:rPr>
          <w:rFonts w:hint="eastAsia" w:ascii="宋体" w:cs="宋体"/>
          <w:lang w:val="en-US" w:eastAsia="zh-CN"/>
        </w:rPr>
        <w:t>27</w:t>
      </w:r>
      <w:r>
        <w:rPr>
          <w:rFonts w:hint="eastAsia" w:ascii="宋体" w:cs="宋体"/>
        </w:rPr>
        <w:t>.1  投标文件提交的收件人、截止时间及地点</w:t>
      </w:r>
    </w:p>
    <w:p>
      <w:pPr>
        <w:spacing w:line="400" w:lineRule="exact"/>
        <w:ind w:firstLine="440" w:firstLineChars="200"/>
        <w:rPr>
          <w:rFonts w:hint="eastAsia" w:ascii="宋体" w:cs="宋体"/>
          <w:kern w:val="0"/>
          <w:u w:val="single"/>
        </w:rPr>
      </w:pPr>
      <w:r>
        <w:rPr>
          <w:rFonts w:hint="eastAsia" w:ascii="宋体" w:cs="宋体"/>
          <w:kern w:val="0"/>
        </w:rPr>
        <w:t>收件人：</w:t>
      </w:r>
      <w:r>
        <w:rPr>
          <w:rFonts w:hint="eastAsia" w:ascii="宋体" w:cs="宋体"/>
          <w:kern w:val="0"/>
          <w:u w:val="single"/>
        </w:rPr>
        <w:t xml:space="preserve"> </w:t>
      </w:r>
      <w:r>
        <w:rPr>
          <w:rFonts w:hint="eastAsia" w:cs="宋体"/>
          <w:kern w:val="0"/>
          <w:u w:val="single"/>
          <w:lang w:val="en-US" w:eastAsia="zh-CN"/>
        </w:rPr>
        <w:t>滁州青山工程咨询有限公司</w:t>
      </w:r>
      <w:r>
        <w:rPr>
          <w:rFonts w:hint="eastAsia" w:ascii="宋体" w:cs="宋体"/>
          <w:kern w:val="0"/>
          <w:u w:val="single"/>
        </w:rPr>
        <w:t></w:t>
      </w:r>
    </w:p>
    <w:p>
      <w:pPr>
        <w:spacing w:line="400" w:lineRule="exact"/>
        <w:ind w:firstLine="440" w:firstLineChars="200"/>
        <w:rPr>
          <w:rFonts w:hint="eastAsia" w:ascii="宋体" w:cs="宋体"/>
          <w:kern w:val="0"/>
          <w:u w:val="single"/>
        </w:rPr>
      </w:pPr>
      <w:r>
        <w:rPr>
          <w:rFonts w:hint="eastAsia" w:ascii="宋体" w:cs="宋体"/>
          <w:kern w:val="0"/>
        </w:rPr>
        <w:t>时  间：</w:t>
      </w:r>
      <w:r>
        <w:rPr>
          <w:rFonts w:hint="eastAsia" w:ascii="宋体" w:cs="宋体"/>
          <w:b/>
          <w:bCs/>
          <w:kern w:val="0"/>
          <w:highlight w:val="none"/>
          <w:u w:val="single"/>
        </w:rPr>
        <w:t xml:space="preserve"> </w:t>
      </w:r>
      <w:r>
        <w:rPr>
          <w:rFonts w:hint="eastAsia" w:cs="宋体"/>
          <w:b/>
          <w:bCs/>
          <w:highlight w:val="none"/>
          <w:u w:val="single"/>
          <w:lang w:eastAsia="zh-CN"/>
        </w:rPr>
        <w:t>2020</w:t>
      </w:r>
      <w:r>
        <w:rPr>
          <w:rFonts w:hint="eastAsia" w:ascii="宋体" w:cs="宋体"/>
          <w:b/>
          <w:bCs/>
          <w:highlight w:val="none"/>
          <w:u w:val="single"/>
        </w:rPr>
        <w:t>年</w:t>
      </w:r>
      <w:r>
        <w:rPr>
          <w:rFonts w:hint="eastAsia" w:cs="宋体"/>
          <w:b/>
          <w:bCs/>
          <w:color w:val="auto"/>
          <w:highlight w:val="none"/>
          <w:u w:val="single"/>
          <w:lang w:val="en-US" w:eastAsia="zh-CN"/>
        </w:rPr>
        <w:t>05</w:t>
      </w:r>
      <w:r>
        <w:rPr>
          <w:rFonts w:hint="eastAsia" w:ascii="宋体" w:cs="宋体"/>
          <w:b/>
          <w:bCs/>
          <w:color w:val="auto"/>
          <w:highlight w:val="none"/>
          <w:u w:val="single"/>
        </w:rPr>
        <w:t>月</w:t>
      </w:r>
      <w:r>
        <w:rPr>
          <w:rFonts w:hint="eastAsia" w:cs="宋体"/>
          <w:b/>
          <w:bCs/>
          <w:color w:val="auto"/>
          <w:highlight w:val="none"/>
          <w:u w:val="single"/>
          <w:lang w:val="en-US" w:eastAsia="zh-CN"/>
        </w:rPr>
        <w:t>06</w:t>
      </w:r>
      <w:r>
        <w:rPr>
          <w:rFonts w:hint="eastAsia" w:ascii="宋体" w:cs="宋体"/>
          <w:b/>
          <w:bCs/>
          <w:color w:val="auto"/>
          <w:highlight w:val="none"/>
          <w:u w:val="single"/>
        </w:rPr>
        <w:t>日</w:t>
      </w:r>
      <w:r>
        <w:rPr>
          <w:rFonts w:hint="eastAsia" w:cs="宋体"/>
          <w:b/>
          <w:bCs/>
          <w:color w:val="auto"/>
          <w:highlight w:val="none"/>
          <w:u w:val="single"/>
          <w:lang w:val="en-US" w:eastAsia="zh-CN"/>
        </w:rPr>
        <w:t>09</w:t>
      </w:r>
      <w:r>
        <w:rPr>
          <w:rFonts w:hint="eastAsia" w:ascii="宋体" w:cs="宋体"/>
          <w:b/>
          <w:bCs/>
          <w:color w:val="auto"/>
          <w:highlight w:val="none"/>
          <w:u w:val="single"/>
        </w:rPr>
        <w:t>时</w:t>
      </w:r>
      <w:r>
        <w:rPr>
          <w:rFonts w:hint="eastAsia" w:ascii="宋体" w:cs="宋体"/>
          <w:b/>
          <w:bCs/>
          <w:color w:val="auto"/>
          <w:highlight w:val="none"/>
          <w:u w:val="single"/>
          <w:lang w:val="en-US" w:eastAsia="zh-CN"/>
        </w:rPr>
        <w:t>00</w:t>
      </w:r>
      <w:r>
        <w:rPr>
          <w:rFonts w:hint="eastAsia" w:ascii="宋体" w:cs="宋体"/>
          <w:b/>
          <w:bCs/>
          <w:color w:val="auto"/>
          <w:highlight w:val="none"/>
          <w:u w:val="single"/>
        </w:rPr>
        <w:t xml:space="preserve"> 分</w:t>
      </w:r>
      <w:r>
        <w:rPr>
          <w:rFonts w:hint="eastAsia" w:ascii="宋体" w:cs="宋体"/>
          <w:highlight w:val="none"/>
          <w:u w:val="single"/>
        </w:rPr>
        <w:t xml:space="preserve"> </w:t>
      </w:r>
    </w:p>
    <w:p>
      <w:pPr>
        <w:spacing w:line="400" w:lineRule="exact"/>
        <w:ind w:firstLine="440" w:firstLineChars="200"/>
        <w:rPr>
          <w:rFonts w:hint="eastAsia" w:ascii="宋体" w:cs="宋体"/>
          <w:color w:val="auto"/>
          <w:kern w:val="0"/>
          <w:u w:val="single"/>
        </w:rPr>
      </w:pPr>
      <w:r>
        <w:rPr>
          <w:rFonts w:hint="eastAsia" w:ascii="宋体" w:cs="宋体"/>
          <w:kern w:val="0"/>
        </w:rPr>
        <w:t>地  点：</w:t>
      </w:r>
      <w:r>
        <w:rPr>
          <w:rFonts w:hint="eastAsia"/>
          <w:color w:val="auto"/>
          <w:u w:val="single"/>
          <w:lang w:val="en-US" w:eastAsia="zh-CN"/>
        </w:rPr>
        <w:t>琅琊山风景名胜区管理委员会建设局第一会议室（滁州市琅琊区琅琊古道30号）</w:t>
      </w:r>
    </w:p>
    <w:p>
      <w:pPr>
        <w:spacing w:line="440" w:lineRule="exact"/>
        <w:ind w:firstLine="329" w:firstLineChars="149"/>
        <w:rPr>
          <w:rFonts w:hint="eastAsia" w:ascii="宋体"/>
          <w:b/>
          <w:szCs w:val="21"/>
        </w:rPr>
      </w:pPr>
      <w:r>
        <w:rPr>
          <w:rFonts w:hint="eastAsia" w:ascii="宋体"/>
          <w:b/>
          <w:szCs w:val="21"/>
        </w:rPr>
        <w:t>28．投标文件的补充、修改与撤回</w:t>
      </w:r>
    </w:p>
    <w:p>
      <w:pPr>
        <w:spacing w:line="440" w:lineRule="exact"/>
        <w:ind w:firstLine="330" w:firstLineChars="150"/>
        <w:jc w:val="left"/>
        <w:rPr>
          <w:rFonts w:hint="eastAsia" w:ascii="宋体"/>
          <w:szCs w:val="21"/>
        </w:rPr>
      </w:pPr>
      <w:r>
        <w:rPr>
          <w:rFonts w:hint="eastAsia" w:ascii="宋体"/>
          <w:szCs w:val="21"/>
        </w:rPr>
        <w:t>28.1</w:t>
      </w:r>
      <w:r>
        <w:rPr>
          <w:rFonts w:hint="eastAsia" w:ascii="宋体" w:cs="宋体"/>
        </w:rPr>
        <w:t>投标人在提交投标文件以后，在规定的投标截止时间之前，可以书面形式补充、修改或撤回已提交的投标文件，并以书面形式通知招标人。补充、修改的内容为投标文件的组成部分。</w:t>
      </w:r>
    </w:p>
    <w:p>
      <w:pPr>
        <w:spacing w:line="400" w:lineRule="exact"/>
        <w:ind w:firstLine="440" w:firstLineChars="200"/>
        <w:jc w:val="left"/>
        <w:rPr>
          <w:rFonts w:hint="eastAsia" w:ascii="宋体" w:eastAsia="宋体" w:cs="宋体"/>
          <w:lang w:eastAsia="zh-CN"/>
        </w:rPr>
      </w:pPr>
      <w:r>
        <w:rPr>
          <w:rFonts w:hint="eastAsia" w:ascii="宋体" w:hAnsi="宋体"/>
          <w:szCs w:val="21"/>
        </w:rPr>
        <w:t>28.</w:t>
      </w:r>
      <w:r>
        <w:rPr>
          <w:rFonts w:hint="eastAsia" w:ascii="宋体" w:hAnsi="宋体"/>
          <w:szCs w:val="21"/>
          <w:lang w:val="en-US" w:eastAsia="zh-CN"/>
        </w:rPr>
        <w:t>2</w:t>
      </w:r>
      <w:r>
        <w:rPr>
          <w:rFonts w:hint="eastAsia" w:ascii="宋体" w:hAnsi="宋体"/>
          <w:szCs w:val="21"/>
        </w:rPr>
        <w:t xml:space="preserve"> </w:t>
      </w:r>
      <w:r>
        <w:rPr>
          <w:rFonts w:hint="eastAsia" w:ascii="宋体" w:cs="宋体"/>
        </w:rPr>
        <w:t>投标人对投标文件的补充、修改，应按本须知有关规定密封、标记和提交</w:t>
      </w:r>
      <w:r>
        <w:rPr>
          <w:rFonts w:hint="eastAsia" w:ascii="宋体" w:cs="宋体"/>
          <w:lang w:eastAsia="zh-CN"/>
        </w:rPr>
        <w:t>。</w:t>
      </w:r>
    </w:p>
    <w:p>
      <w:pPr>
        <w:spacing w:line="400" w:lineRule="exact"/>
        <w:ind w:firstLine="440" w:firstLineChars="200"/>
        <w:jc w:val="left"/>
        <w:rPr>
          <w:rFonts w:hint="eastAsia" w:ascii="宋体" w:cs="宋体"/>
        </w:rPr>
      </w:pPr>
      <w:r>
        <w:rPr>
          <w:rFonts w:hint="eastAsia" w:ascii="宋体" w:cs="宋体"/>
          <w:lang w:val="en-US" w:eastAsia="zh-CN"/>
        </w:rPr>
        <w:t>28</w:t>
      </w:r>
      <w:r>
        <w:rPr>
          <w:rFonts w:hint="eastAsia" w:ascii="宋体" w:cs="宋体"/>
        </w:rPr>
        <w:t>.3  在投标截止时间之后，投标人不得补充、修改投标文件。</w:t>
      </w:r>
    </w:p>
    <w:p>
      <w:pPr>
        <w:autoSpaceDE w:val="0"/>
        <w:autoSpaceDN w:val="0"/>
        <w:adjustRightInd w:val="0"/>
        <w:spacing w:line="400" w:lineRule="exact"/>
        <w:ind w:firstLine="420"/>
        <w:rPr>
          <w:rFonts w:hint="eastAsia"/>
        </w:rPr>
      </w:pPr>
    </w:p>
    <w:p>
      <w:pPr>
        <w:bidi w:val="0"/>
        <w:rPr>
          <w:rFonts w:hint="eastAsia"/>
        </w:rPr>
      </w:pPr>
    </w:p>
    <w:p>
      <w:pPr>
        <w:spacing w:line="440" w:lineRule="exact"/>
        <w:jc w:val="center"/>
        <w:outlineLvl w:val="2"/>
        <w:rPr>
          <w:rFonts w:hint="eastAsia" w:ascii="黑体" w:eastAsia="黑体"/>
          <w:sz w:val="28"/>
          <w:szCs w:val="28"/>
        </w:rPr>
      </w:pPr>
      <w:bookmarkStart w:id="25" w:name="_Toc469495728"/>
      <w:r>
        <w:rPr>
          <w:rFonts w:hint="eastAsia" w:ascii="黑体" w:eastAsia="黑体"/>
          <w:sz w:val="28"/>
          <w:szCs w:val="28"/>
        </w:rPr>
        <w:t>（五）开 标、评标和定标</w:t>
      </w:r>
      <w:bookmarkEnd w:id="25"/>
    </w:p>
    <w:p>
      <w:pPr>
        <w:spacing w:line="440" w:lineRule="exact"/>
        <w:rPr>
          <w:rFonts w:hint="eastAsia" w:ascii="宋体"/>
          <w:b/>
          <w:szCs w:val="21"/>
        </w:rPr>
      </w:pPr>
      <w:r>
        <w:rPr>
          <w:rFonts w:hint="eastAsia" w:ascii="宋体"/>
          <w:b/>
          <w:sz w:val="24"/>
        </w:rPr>
        <w:t xml:space="preserve">  </w:t>
      </w:r>
      <w:r>
        <w:rPr>
          <w:rFonts w:hint="eastAsia" w:ascii="宋体"/>
          <w:b/>
          <w:szCs w:val="21"/>
        </w:rPr>
        <w:t xml:space="preserve"> 29. 开标</w:t>
      </w:r>
    </w:p>
    <w:p>
      <w:pPr>
        <w:spacing w:line="440" w:lineRule="exact"/>
        <w:ind w:firstLine="330" w:firstLineChars="150"/>
        <w:jc w:val="left"/>
        <w:rPr>
          <w:rFonts w:hint="eastAsia" w:ascii="宋体"/>
          <w:szCs w:val="21"/>
        </w:rPr>
      </w:pPr>
      <w:r>
        <w:rPr>
          <w:rFonts w:hint="eastAsia" w:ascii="宋体"/>
          <w:szCs w:val="21"/>
        </w:rPr>
        <w:t>29.1  开标的时间和地点</w:t>
      </w:r>
    </w:p>
    <w:p>
      <w:pPr>
        <w:spacing w:line="440" w:lineRule="exact"/>
        <w:ind w:firstLine="330" w:firstLineChars="150"/>
        <w:jc w:val="left"/>
        <w:rPr>
          <w:rFonts w:hint="eastAsia" w:ascii="宋体"/>
          <w:szCs w:val="21"/>
        </w:rPr>
      </w:pPr>
      <w:r>
        <w:rPr>
          <w:rFonts w:hint="eastAsia" w:ascii="宋体"/>
          <w:szCs w:val="21"/>
        </w:rPr>
        <w:t>29.1.1招标人按本须知第27条提交投标文件的截止时间和地点公开开标，并邀请所有投标人参加。</w:t>
      </w:r>
    </w:p>
    <w:p>
      <w:pPr>
        <w:adjustRightInd w:val="0"/>
        <w:snapToGrid w:val="0"/>
        <w:spacing w:line="440" w:lineRule="exact"/>
        <w:ind w:firstLine="330" w:firstLineChars="150"/>
        <w:rPr>
          <w:rFonts w:hint="eastAsia" w:ascii="宋体"/>
          <w:szCs w:val="21"/>
        </w:rPr>
      </w:pPr>
      <w:r>
        <w:rPr>
          <w:rFonts w:hint="eastAsia" w:ascii="宋体"/>
          <w:szCs w:val="21"/>
        </w:rPr>
        <w:t>29.</w:t>
      </w:r>
      <w:r>
        <w:rPr>
          <w:rFonts w:hint="eastAsia" w:ascii="宋体"/>
          <w:szCs w:val="21"/>
          <w:lang w:val="en-US" w:eastAsia="zh-CN"/>
        </w:rPr>
        <w:t>2</w:t>
      </w:r>
      <w:r>
        <w:rPr>
          <w:rFonts w:hint="eastAsia" w:ascii="宋体"/>
          <w:szCs w:val="21"/>
        </w:rPr>
        <w:t>开标程序</w:t>
      </w:r>
    </w:p>
    <w:p>
      <w:pPr>
        <w:spacing w:line="440" w:lineRule="exact"/>
        <w:ind w:right="-163" w:rightChars="-74" w:firstLine="660" w:firstLineChars="300"/>
        <w:jc w:val="left"/>
        <w:rPr>
          <w:rFonts w:hint="eastAsia" w:ascii="宋体"/>
          <w:szCs w:val="21"/>
        </w:rPr>
      </w:pPr>
      <w:r>
        <w:rPr>
          <w:rFonts w:hint="eastAsia" w:ascii="宋体"/>
          <w:szCs w:val="21"/>
        </w:rPr>
        <w:t>开标会议由</w:t>
      </w:r>
      <w:r>
        <w:rPr>
          <w:rFonts w:hint="eastAsia"/>
          <w:szCs w:val="21"/>
          <w:u w:val="single"/>
          <w:lang w:eastAsia="zh-CN"/>
        </w:rPr>
        <w:t>滁州青山工程咨询有限公司</w:t>
      </w:r>
      <w:r>
        <w:rPr>
          <w:rFonts w:hint="eastAsia" w:ascii="宋体"/>
          <w:szCs w:val="21"/>
        </w:rPr>
        <w:t>主持。</w:t>
      </w:r>
    </w:p>
    <w:p>
      <w:pPr>
        <w:spacing w:line="440" w:lineRule="exact"/>
        <w:ind w:right="-163" w:rightChars="-74" w:firstLine="330" w:firstLineChars="150"/>
        <w:jc w:val="left"/>
        <w:rPr>
          <w:rFonts w:hint="eastAsia" w:ascii="宋体"/>
          <w:szCs w:val="21"/>
        </w:rPr>
      </w:pPr>
      <w:r>
        <w:rPr>
          <w:rFonts w:hint="eastAsia" w:ascii="宋体"/>
          <w:szCs w:val="21"/>
        </w:rPr>
        <w:t>（1）公布在投标截止时间前递交投标文件的投标人名称；</w:t>
      </w:r>
    </w:p>
    <w:p>
      <w:pPr>
        <w:spacing w:line="440" w:lineRule="exact"/>
        <w:ind w:right="-163" w:rightChars="-74" w:firstLine="220" w:firstLineChars="100"/>
        <w:jc w:val="left"/>
        <w:rPr>
          <w:rFonts w:hint="eastAsia" w:ascii="宋体"/>
          <w:szCs w:val="21"/>
        </w:rPr>
      </w:pPr>
      <w:r>
        <w:rPr>
          <w:rFonts w:hint="eastAsia" w:ascii="宋体"/>
          <w:szCs w:val="21"/>
        </w:rPr>
        <w:t>（2）宣布开标人、唱标人、记录人、监标人等有关人员姓名；</w:t>
      </w:r>
    </w:p>
    <w:p>
      <w:pPr>
        <w:spacing w:line="440" w:lineRule="exact"/>
        <w:ind w:right="-163" w:rightChars="-74" w:firstLine="220" w:firstLineChars="100"/>
        <w:jc w:val="left"/>
        <w:rPr>
          <w:rFonts w:hint="eastAsia" w:ascii="宋体"/>
          <w:szCs w:val="21"/>
        </w:rPr>
      </w:pPr>
      <w:r>
        <w:rPr>
          <w:rFonts w:hint="eastAsia" w:ascii="宋体"/>
          <w:szCs w:val="21"/>
        </w:rPr>
        <w:t>（3）按照投标人须知前附表的规定确定并宣布投标文件开标顺序；</w:t>
      </w:r>
    </w:p>
    <w:p>
      <w:pPr>
        <w:spacing w:line="440" w:lineRule="exact"/>
        <w:ind w:right="-163" w:rightChars="-74" w:firstLine="220" w:firstLineChars="100"/>
        <w:jc w:val="left"/>
        <w:rPr>
          <w:rFonts w:hint="eastAsia" w:ascii="宋体"/>
          <w:szCs w:val="21"/>
        </w:rPr>
      </w:pPr>
      <w:r>
        <w:rPr>
          <w:rFonts w:hint="eastAsia" w:ascii="宋体"/>
          <w:szCs w:val="21"/>
        </w:rPr>
        <w:t>（4）</w:t>
      </w:r>
      <w:r>
        <w:rPr>
          <w:rFonts w:hint="eastAsia" w:ascii="宋体" w:hAnsi="宋体"/>
          <w:szCs w:val="21"/>
        </w:rPr>
        <w:t>宣布开标顺序当众开标，公布投标人名称、投标保证金的缴纳情况；</w:t>
      </w:r>
    </w:p>
    <w:p>
      <w:pPr>
        <w:spacing w:line="440" w:lineRule="exact"/>
        <w:ind w:right="-163" w:rightChars="-74" w:firstLine="330" w:firstLineChars="150"/>
        <w:jc w:val="left"/>
        <w:rPr>
          <w:rFonts w:hint="eastAsia" w:ascii="宋体"/>
          <w:szCs w:val="21"/>
        </w:rPr>
      </w:pPr>
      <w:r>
        <w:rPr>
          <w:rFonts w:hint="eastAsia" w:ascii="宋体"/>
          <w:szCs w:val="21"/>
        </w:rPr>
        <w:t>（5）由投标人或其推选的代表检查投标文件的密封情况，也可以由招标人委托的公证机构检查并公证；</w:t>
      </w:r>
    </w:p>
    <w:p>
      <w:pPr>
        <w:spacing w:line="440" w:lineRule="exact"/>
        <w:ind w:right="-163" w:rightChars="-74" w:firstLine="220" w:firstLineChars="100"/>
        <w:jc w:val="left"/>
        <w:rPr>
          <w:rFonts w:hint="eastAsia" w:ascii="宋体"/>
          <w:szCs w:val="21"/>
        </w:rPr>
      </w:pPr>
      <w:r>
        <w:rPr>
          <w:rFonts w:hint="eastAsia" w:ascii="宋体"/>
          <w:szCs w:val="21"/>
        </w:rPr>
        <w:t>（6）</w:t>
      </w:r>
      <w:r>
        <w:rPr>
          <w:rFonts w:hint="eastAsia"/>
          <w:szCs w:val="21"/>
          <w:lang w:eastAsia="zh-CN"/>
        </w:rPr>
        <w:t>评标小组</w:t>
      </w:r>
      <w:r>
        <w:rPr>
          <w:rFonts w:hint="eastAsia" w:ascii="宋体"/>
          <w:szCs w:val="21"/>
        </w:rPr>
        <w:t>对</w:t>
      </w:r>
      <w:r>
        <w:rPr>
          <w:rFonts w:hint="eastAsia" w:ascii="宋体"/>
          <w:szCs w:val="21"/>
          <w:lang w:val="en-US" w:eastAsia="zh-CN"/>
        </w:rPr>
        <w:t>投标单位进行资格审查</w:t>
      </w:r>
      <w:r>
        <w:rPr>
          <w:rFonts w:hint="eastAsia" w:ascii="宋体" w:hAnsi="宋体"/>
          <w:szCs w:val="21"/>
        </w:rPr>
        <w:t>；</w:t>
      </w:r>
    </w:p>
    <w:p>
      <w:pPr>
        <w:spacing w:line="440" w:lineRule="exact"/>
        <w:ind w:right="-163" w:rightChars="-74" w:firstLine="220" w:firstLineChars="100"/>
        <w:jc w:val="left"/>
        <w:rPr>
          <w:rFonts w:hint="eastAsia" w:ascii="宋体"/>
          <w:szCs w:val="21"/>
        </w:rPr>
      </w:pPr>
      <w:r>
        <w:rPr>
          <w:rFonts w:hint="eastAsia" w:ascii="宋体"/>
          <w:szCs w:val="21"/>
        </w:rPr>
        <w:t xml:space="preserve"> (</w:t>
      </w:r>
      <w:r>
        <w:rPr>
          <w:rFonts w:hint="eastAsia" w:ascii="宋体"/>
          <w:szCs w:val="21"/>
          <w:lang w:val="en-US" w:eastAsia="zh-CN"/>
        </w:rPr>
        <w:t>7</w:t>
      </w:r>
      <w:r>
        <w:rPr>
          <w:rFonts w:hint="eastAsia" w:ascii="宋体"/>
          <w:szCs w:val="21"/>
        </w:rPr>
        <w:t>)</w:t>
      </w:r>
      <w:r>
        <w:rPr>
          <w:rFonts w:hint="eastAsia" w:ascii="宋体"/>
          <w:szCs w:val="21"/>
          <w:highlight w:val="none"/>
        </w:rPr>
        <w:t xml:space="preserve"> </w:t>
      </w:r>
      <w:r>
        <w:rPr>
          <w:rFonts w:hint="eastAsia" w:cs="宋体"/>
          <w:highlight w:val="none"/>
          <w:lang w:val="en-US" w:eastAsia="zh-CN"/>
        </w:rPr>
        <w:t>评标小组</w:t>
      </w:r>
      <w:r>
        <w:rPr>
          <w:rFonts w:hint="eastAsia" w:ascii="宋体" w:cs="宋体"/>
          <w:highlight w:val="none"/>
          <w:lang w:val="en-US" w:eastAsia="zh-CN"/>
        </w:rPr>
        <w:t>从资格审查评审合格单位中推荐投标报价最低（费率）的为第一中标候选人。</w:t>
      </w:r>
      <w:r>
        <w:rPr>
          <w:rFonts w:hint="eastAsia" w:ascii="宋体" w:cs="宋体"/>
          <w:highlight w:val="none"/>
        </w:rPr>
        <w:t>主持人宣布评审结果</w:t>
      </w:r>
      <w:r>
        <w:rPr>
          <w:rFonts w:hint="eastAsia" w:ascii="宋体"/>
          <w:szCs w:val="21"/>
          <w:highlight w:val="none"/>
        </w:rPr>
        <w:t>；</w:t>
      </w:r>
    </w:p>
    <w:p>
      <w:pPr>
        <w:spacing w:line="440" w:lineRule="exact"/>
        <w:ind w:right="-163" w:rightChars="-74" w:firstLine="220" w:firstLineChars="100"/>
        <w:jc w:val="left"/>
        <w:rPr>
          <w:rFonts w:hint="eastAsia" w:ascii="宋体" w:eastAsia="Calibri"/>
          <w:szCs w:val="21"/>
          <w:lang w:eastAsia="zh-CN"/>
        </w:rPr>
      </w:pPr>
      <w:r>
        <w:rPr>
          <w:rFonts w:hint="eastAsia" w:ascii="宋体"/>
          <w:szCs w:val="21"/>
        </w:rPr>
        <w:t xml:space="preserve"> (</w:t>
      </w:r>
      <w:r>
        <w:rPr>
          <w:rFonts w:hint="eastAsia" w:ascii="宋体"/>
          <w:szCs w:val="21"/>
          <w:lang w:val="en-US" w:eastAsia="zh-CN"/>
        </w:rPr>
        <w:t>8</w:t>
      </w:r>
      <w:r>
        <w:rPr>
          <w:rFonts w:hint="eastAsia" w:ascii="宋体"/>
          <w:szCs w:val="21"/>
        </w:rPr>
        <w:t xml:space="preserve">) </w:t>
      </w:r>
      <w:r>
        <w:rPr>
          <w:rFonts w:hint="eastAsia" w:ascii="宋体"/>
          <w:szCs w:val="21"/>
          <w:lang w:eastAsia="zh-CN"/>
        </w:rPr>
        <w:t>宣布结果；</w:t>
      </w:r>
    </w:p>
    <w:p>
      <w:pPr>
        <w:spacing w:line="440" w:lineRule="exact"/>
        <w:ind w:right="-163" w:rightChars="-74" w:firstLine="220" w:firstLineChars="100"/>
        <w:jc w:val="left"/>
        <w:rPr>
          <w:rFonts w:hint="eastAsia"/>
        </w:rPr>
      </w:pPr>
      <w:r>
        <w:rPr>
          <w:rFonts w:hint="eastAsia" w:ascii="宋体"/>
          <w:szCs w:val="21"/>
        </w:rPr>
        <w:t>（</w:t>
      </w:r>
      <w:r>
        <w:rPr>
          <w:rFonts w:hint="eastAsia" w:ascii="宋体"/>
          <w:szCs w:val="21"/>
          <w:lang w:val="en-US" w:eastAsia="zh-CN"/>
        </w:rPr>
        <w:t>9</w:t>
      </w:r>
      <w:r>
        <w:rPr>
          <w:rFonts w:hint="eastAsia" w:ascii="宋体"/>
          <w:szCs w:val="21"/>
        </w:rPr>
        <w:t>）开标结束。</w:t>
      </w:r>
    </w:p>
    <w:p>
      <w:pPr>
        <w:spacing w:line="440" w:lineRule="exact"/>
        <w:ind w:right="-163" w:rightChars="-74" w:firstLine="220" w:firstLineChars="100"/>
        <w:jc w:val="left"/>
        <w:rPr>
          <w:rFonts w:hint="eastAsia" w:ascii="宋体"/>
          <w:szCs w:val="21"/>
        </w:rPr>
      </w:pPr>
      <w:r>
        <w:rPr>
          <w:rFonts w:hint="eastAsia" w:ascii="宋体"/>
          <w:szCs w:val="21"/>
        </w:rPr>
        <w:t xml:space="preserve"> 29.</w:t>
      </w:r>
      <w:r>
        <w:rPr>
          <w:rFonts w:hint="eastAsia" w:ascii="宋体"/>
          <w:szCs w:val="21"/>
          <w:lang w:val="en-US" w:eastAsia="zh-CN"/>
        </w:rPr>
        <w:t>3</w:t>
      </w:r>
      <w:r>
        <w:rPr>
          <w:rFonts w:hint="eastAsia" w:ascii="宋体"/>
          <w:szCs w:val="21"/>
        </w:rPr>
        <w:t>开标异议</w:t>
      </w:r>
    </w:p>
    <w:p>
      <w:pPr>
        <w:spacing w:line="440" w:lineRule="exact"/>
        <w:ind w:right="-163" w:rightChars="-74" w:firstLine="220" w:firstLineChars="100"/>
        <w:jc w:val="left"/>
        <w:rPr>
          <w:rFonts w:hint="eastAsia" w:ascii="宋体"/>
          <w:szCs w:val="21"/>
        </w:rPr>
      </w:pPr>
      <w:r>
        <w:rPr>
          <w:rFonts w:hint="eastAsia" w:ascii="宋体"/>
          <w:szCs w:val="21"/>
        </w:rPr>
        <w:t>投标人对开标有异议的，应当在开标现场提出，招标人当场作出答复，并制作记录。</w:t>
      </w:r>
    </w:p>
    <w:p>
      <w:pPr>
        <w:spacing w:line="440" w:lineRule="exact"/>
        <w:ind w:firstLine="221" w:firstLineChars="100"/>
        <w:jc w:val="left"/>
        <w:rPr>
          <w:rFonts w:hint="eastAsia" w:ascii="宋体" w:eastAsia="宋体"/>
          <w:b/>
          <w:szCs w:val="21"/>
          <w:lang w:eastAsia="zh-CN"/>
        </w:rPr>
      </w:pPr>
      <w:r>
        <w:rPr>
          <w:rFonts w:hint="eastAsia" w:ascii="宋体"/>
          <w:b/>
          <w:szCs w:val="21"/>
        </w:rPr>
        <w:t xml:space="preserve">30. </w:t>
      </w:r>
      <w:r>
        <w:rPr>
          <w:rFonts w:hint="eastAsia"/>
          <w:b/>
          <w:szCs w:val="21"/>
          <w:lang w:eastAsia="zh-CN"/>
        </w:rPr>
        <w:t>评标小组</w:t>
      </w:r>
    </w:p>
    <w:p>
      <w:pPr>
        <w:spacing w:line="440" w:lineRule="exact"/>
        <w:ind w:firstLine="220" w:firstLineChars="100"/>
        <w:jc w:val="left"/>
        <w:rPr>
          <w:rFonts w:hint="eastAsia" w:ascii="宋体"/>
          <w:szCs w:val="21"/>
        </w:rPr>
      </w:pPr>
      <w:r>
        <w:rPr>
          <w:rFonts w:hint="eastAsia" w:ascii="宋体"/>
          <w:szCs w:val="21"/>
        </w:rPr>
        <w:t xml:space="preserve">30.1  </w:t>
      </w:r>
      <w:r>
        <w:rPr>
          <w:rFonts w:hint="eastAsia"/>
          <w:szCs w:val="21"/>
          <w:lang w:eastAsia="zh-CN"/>
        </w:rPr>
        <w:t>评标小组</w:t>
      </w:r>
      <w:r>
        <w:rPr>
          <w:rFonts w:hint="eastAsia" w:ascii="宋体"/>
          <w:szCs w:val="21"/>
        </w:rPr>
        <w:t>的组成</w:t>
      </w:r>
    </w:p>
    <w:p>
      <w:pPr>
        <w:spacing w:line="440" w:lineRule="exact"/>
        <w:ind w:firstLine="220" w:firstLineChars="100"/>
        <w:jc w:val="left"/>
        <w:rPr>
          <w:rFonts w:hint="eastAsia" w:ascii="宋体"/>
          <w:szCs w:val="21"/>
        </w:rPr>
      </w:pPr>
      <w:r>
        <w:rPr>
          <w:rFonts w:hint="eastAsia" w:ascii="宋体"/>
          <w:szCs w:val="21"/>
        </w:rPr>
        <w:t>30.1.1评标由招标人依法组建的</w:t>
      </w:r>
      <w:r>
        <w:rPr>
          <w:rFonts w:hint="eastAsia"/>
          <w:szCs w:val="21"/>
          <w:lang w:eastAsia="zh-CN"/>
        </w:rPr>
        <w:t>评标小组</w:t>
      </w:r>
      <w:r>
        <w:rPr>
          <w:rFonts w:hint="eastAsia" w:ascii="宋体"/>
          <w:szCs w:val="21"/>
        </w:rPr>
        <w:t>负责。</w:t>
      </w:r>
    </w:p>
    <w:p>
      <w:pPr>
        <w:spacing w:line="440" w:lineRule="exact"/>
        <w:ind w:firstLine="220" w:firstLineChars="100"/>
        <w:rPr>
          <w:rFonts w:hint="eastAsia" w:ascii="宋体"/>
          <w:szCs w:val="21"/>
        </w:rPr>
      </w:pPr>
      <w:r>
        <w:rPr>
          <w:rFonts w:hint="eastAsia" w:ascii="宋体"/>
          <w:szCs w:val="21"/>
        </w:rPr>
        <w:t>30.1.2</w:t>
      </w:r>
      <w:r>
        <w:rPr>
          <w:rFonts w:hint="eastAsia"/>
          <w:szCs w:val="21"/>
          <w:lang w:eastAsia="zh-CN"/>
        </w:rPr>
        <w:t>评标小组</w:t>
      </w:r>
      <w:r>
        <w:rPr>
          <w:rFonts w:hint="eastAsia" w:ascii="宋体"/>
          <w:szCs w:val="21"/>
        </w:rPr>
        <w:t>负责人依法推荐或确定。</w:t>
      </w:r>
    </w:p>
    <w:p>
      <w:pPr>
        <w:spacing w:line="440" w:lineRule="exact"/>
        <w:ind w:firstLine="220" w:firstLineChars="100"/>
        <w:jc w:val="left"/>
        <w:rPr>
          <w:rFonts w:hint="eastAsia" w:ascii="宋体"/>
          <w:szCs w:val="21"/>
        </w:rPr>
      </w:pPr>
      <w:r>
        <w:rPr>
          <w:rFonts w:hint="eastAsia" w:ascii="宋体"/>
          <w:szCs w:val="21"/>
        </w:rPr>
        <w:t xml:space="preserve">30.2  </w:t>
      </w:r>
      <w:r>
        <w:rPr>
          <w:rFonts w:hint="eastAsia"/>
          <w:szCs w:val="21"/>
          <w:lang w:eastAsia="zh-CN"/>
        </w:rPr>
        <w:t>评标小组</w:t>
      </w:r>
      <w:r>
        <w:rPr>
          <w:rFonts w:hint="eastAsia" w:ascii="宋体"/>
          <w:szCs w:val="21"/>
        </w:rPr>
        <w:t>成员名单在中标结果确定前应当保密。</w:t>
      </w:r>
    </w:p>
    <w:p>
      <w:pPr>
        <w:spacing w:line="440" w:lineRule="exact"/>
        <w:ind w:firstLine="220" w:firstLineChars="100"/>
        <w:jc w:val="left"/>
        <w:rPr>
          <w:rFonts w:hint="eastAsia" w:ascii="宋体"/>
          <w:szCs w:val="21"/>
        </w:rPr>
      </w:pPr>
      <w:r>
        <w:rPr>
          <w:rFonts w:hint="eastAsia" w:ascii="宋体"/>
          <w:szCs w:val="21"/>
        </w:rPr>
        <w:t xml:space="preserve">30.3  </w:t>
      </w:r>
      <w:r>
        <w:rPr>
          <w:rFonts w:hint="eastAsia"/>
          <w:szCs w:val="21"/>
          <w:lang w:eastAsia="zh-CN"/>
        </w:rPr>
        <w:t>评标小组</w:t>
      </w:r>
      <w:r>
        <w:rPr>
          <w:rFonts w:hint="eastAsia" w:ascii="宋体"/>
          <w:szCs w:val="21"/>
        </w:rPr>
        <w:t>成员有下述情形的，应当主动提出回避：</w:t>
      </w:r>
    </w:p>
    <w:p>
      <w:pPr>
        <w:spacing w:line="440" w:lineRule="exact"/>
        <w:ind w:firstLine="330" w:firstLineChars="150"/>
        <w:rPr>
          <w:rFonts w:hint="eastAsia" w:ascii="宋体"/>
          <w:szCs w:val="21"/>
        </w:rPr>
      </w:pPr>
      <w:r>
        <w:rPr>
          <w:rFonts w:hint="eastAsia" w:ascii="宋体"/>
          <w:szCs w:val="21"/>
        </w:rPr>
        <w:t>（1）投标人或投标人主要负责人的近亲属；</w:t>
      </w:r>
    </w:p>
    <w:p>
      <w:pPr>
        <w:spacing w:line="440" w:lineRule="exact"/>
        <w:ind w:firstLine="376" w:firstLineChars="171"/>
        <w:rPr>
          <w:rFonts w:hint="eastAsia" w:ascii="宋体"/>
          <w:szCs w:val="21"/>
        </w:rPr>
      </w:pPr>
      <w:r>
        <w:rPr>
          <w:rFonts w:hint="eastAsia" w:ascii="宋体"/>
          <w:szCs w:val="21"/>
        </w:rPr>
        <w:t>（2）项目主管部门或者行政监督部门的人员；</w:t>
      </w:r>
    </w:p>
    <w:p>
      <w:pPr>
        <w:spacing w:line="440" w:lineRule="exact"/>
        <w:ind w:firstLine="376" w:firstLineChars="171"/>
        <w:rPr>
          <w:rFonts w:hint="eastAsia" w:ascii="宋体"/>
          <w:szCs w:val="21"/>
        </w:rPr>
      </w:pPr>
      <w:r>
        <w:rPr>
          <w:rFonts w:hint="eastAsia" w:ascii="宋体"/>
          <w:szCs w:val="21"/>
        </w:rPr>
        <w:t>（3）与投标人有经济利益关系；</w:t>
      </w:r>
    </w:p>
    <w:p>
      <w:pPr>
        <w:spacing w:line="440" w:lineRule="exact"/>
        <w:ind w:firstLine="376" w:firstLineChars="171"/>
        <w:rPr>
          <w:rFonts w:hint="eastAsia" w:ascii="宋体"/>
          <w:szCs w:val="21"/>
        </w:rPr>
      </w:pPr>
      <w:r>
        <w:rPr>
          <w:rFonts w:hint="eastAsia" w:ascii="宋体"/>
          <w:szCs w:val="21"/>
        </w:rPr>
        <w:t>（4）曾因在招标、评标以及其他与招标投标有关活动中从事违法行为而受过行政处罚或刑事处罚的；</w:t>
      </w:r>
    </w:p>
    <w:p>
      <w:pPr>
        <w:spacing w:line="440" w:lineRule="exact"/>
        <w:ind w:firstLine="376" w:firstLineChars="171"/>
        <w:rPr>
          <w:rFonts w:hint="eastAsia" w:ascii="宋体"/>
          <w:szCs w:val="21"/>
        </w:rPr>
      </w:pPr>
      <w:r>
        <w:rPr>
          <w:rFonts w:hint="eastAsia" w:ascii="宋体"/>
          <w:szCs w:val="21"/>
        </w:rPr>
        <w:t>（5）与投标人有其他利害关系。</w:t>
      </w:r>
    </w:p>
    <w:p>
      <w:pPr>
        <w:spacing w:line="440" w:lineRule="exact"/>
        <w:rPr>
          <w:rFonts w:hint="eastAsia" w:ascii="宋体"/>
          <w:szCs w:val="21"/>
        </w:rPr>
      </w:pPr>
      <w:r>
        <w:rPr>
          <w:rFonts w:hint="eastAsia" w:ascii="宋体"/>
          <w:szCs w:val="21"/>
        </w:rPr>
        <w:t xml:space="preserve">  30.4  </w:t>
      </w:r>
      <w:r>
        <w:rPr>
          <w:rFonts w:hint="eastAsia"/>
          <w:szCs w:val="21"/>
          <w:lang w:eastAsia="zh-CN"/>
        </w:rPr>
        <w:t>评标小组</w:t>
      </w:r>
      <w:r>
        <w:rPr>
          <w:rFonts w:hint="eastAsia" w:ascii="宋体"/>
          <w:szCs w:val="21"/>
        </w:rPr>
        <w:t>应当向招标人提出书面评标报告，并抄送有关行政监督部门。评标报告应当如实记载以下内容：</w:t>
      </w:r>
    </w:p>
    <w:p>
      <w:pPr>
        <w:spacing w:line="440" w:lineRule="exact"/>
        <w:ind w:firstLine="440" w:firstLineChars="200"/>
        <w:rPr>
          <w:rFonts w:hint="eastAsia" w:ascii="宋体"/>
          <w:szCs w:val="21"/>
        </w:rPr>
      </w:pPr>
      <w:r>
        <w:rPr>
          <w:rFonts w:hint="eastAsia" w:ascii="宋体"/>
          <w:szCs w:val="21"/>
        </w:rPr>
        <w:t>（1）基本情况和数据表；</w:t>
      </w:r>
    </w:p>
    <w:p>
      <w:pPr>
        <w:spacing w:line="440" w:lineRule="exact"/>
        <w:ind w:firstLine="440" w:firstLineChars="200"/>
        <w:rPr>
          <w:rFonts w:hint="eastAsia" w:ascii="宋体"/>
          <w:szCs w:val="21"/>
        </w:rPr>
      </w:pPr>
      <w:r>
        <w:rPr>
          <w:rFonts w:hint="eastAsia" w:ascii="宋体"/>
          <w:szCs w:val="21"/>
        </w:rPr>
        <w:t>（2）</w:t>
      </w:r>
      <w:r>
        <w:rPr>
          <w:rFonts w:hint="eastAsia"/>
          <w:szCs w:val="21"/>
          <w:lang w:eastAsia="zh-CN"/>
        </w:rPr>
        <w:t>评标小组</w:t>
      </w:r>
      <w:r>
        <w:rPr>
          <w:rFonts w:hint="eastAsia" w:ascii="宋体"/>
          <w:szCs w:val="21"/>
        </w:rPr>
        <w:t>成员名单；</w:t>
      </w:r>
    </w:p>
    <w:p>
      <w:pPr>
        <w:spacing w:line="440" w:lineRule="exact"/>
        <w:ind w:firstLine="440" w:firstLineChars="200"/>
        <w:rPr>
          <w:rFonts w:hint="eastAsia" w:ascii="宋体"/>
          <w:szCs w:val="21"/>
        </w:rPr>
      </w:pPr>
      <w:r>
        <w:rPr>
          <w:rFonts w:hint="eastAsia" w:ascii="宋体"/>
          <w:szCs w:val="21"/>
        </w:rPr>
        <w:t>（3）开标记录；</w:t>
      </w:r>
    </w:p>
    <w:p>
      <w:pPr>
        <w:spacing w:line="440" w:lineRule="exact"/>
        <w:ind w:firstLine="440" w:firstLineChars="200"/>
        <w:rPr>
          <w:rFonts w:hint="eastAsia" w:ascii="宋体"/>
          <w:szCs w:val="21"/>
        </w:rPr>
      </w:pPr>
      <w:r>
        <w:rPr>
          <w:rFonts w:hint="eastAsia" w:ascii="宋体"/>
          <w:szCs w:val="21"/>
        </w:rPr>
        <w:t>（4）符合要求的投标人一览表；</w:t>
      </w:r>
    </w:p>
    <w:p>
      <w:pPr>
        <w:spacing w:line="440" w:lineRule="exact"/>
        <w:ind w:firstLine="440" w:firstLineChars="200"/>
        <w:rPr>
          <w:rFonts w:hint="eastAsia" w:ascii="宋体"/>
          <w:szCs w:val="21"/>
        </w:rPr>
      </w:pPr>
      <w:r>
        <w:rPr>
          <w:rFonts w:hint="eastAsia" w:ascii="宋体"/>
          <w:szCs w:val="21"/>
        </w:rPr>
        <w:t>（5）无效投标情况说明；</w:t>
      </w:r>
    </w:p>
    <w:p>
      <w:pPr>
        <w:spacing w:line="440" w:lineRule="exact"/>
        <w:ind w:firstLine="440" w:firstLineChars="200"/>
        <w:rPr>
          <w:rFonts w:hint="eastAsia" w:ascii="宋体"/>
          <w:szCs w:val="21"/>
        </w:rPr>
      </w:pPr>
      <w:r>
        <w:rPr>
          <w:rFonts w:hint="eastAsia" w:ascii="宋体"/>
          <w:szCs w:val="21"/>
        </w:rPr>
        <w:t>（6）评标标准、评标方法或者评标因素一览表；</w:t>
      </w:r>
    </w:p>
    <w:p>
      <w:pPr>
        <w:spacing w:line="440" w:lineRule="exact"/>
        <w:ind w:firstLine="440" w:firstLineChars="200"/>
        <w:rPr>
          <w:rFonts w:hint="eastAsia" w:ascii="宋体"/>
          <w:szCs w:val="21"/>
        </w:rPr>
      </w:pPr>
      <w:r>
        <w:rPr>
          <w:rFonts w:hint="eastAsia" w:ascii="宋体"/>
          <w:szCs w:val="21"/>
        </w:rPr>
        <w:t>（7）经评审的价格或者评分比较一览表；</w:t>
      </w:r>
    </w:p>
    <w:p>
      <w:pPr>
        <w:spacing w:line="440" w:lineRule="exact"/>
        <w:ind w:firstLine="440" w:firstLineChars="200"/>
        <w:rPr>
          <w:rFonts w:hint="eastAsia" w:ascii="宋体"/>
          <w:szCs w:val="21"/>
        </w:rPr>
      </w:pPr>
      <w:r>
        <w:rPr>
          <w:rFonts w:hint="eastAsia" w:ascii="宋体"/>
          <w:szCs w:val="21"/>
        </w:rPr>
        <w:t>（8）投标人串标、围标等违规行为的确认报告；</w:t>
      </w:r>
    </w:p>
    <w:p>
      <w:pPr>
        <w:spacing w:line="440" w:lineRule="exact"/>
        <w:ind w:firstLine="440" w:firstLineChars="200"/>
        <w:rPr>
          <w:rFonts w:hint="eastAsia" w:ascii="宋体"/>
          <w:szCs w:val="21"/>
        </w:rPr>
      </w:pPr>
      <w:r>
        <w:rPr>
          <w:rFonts w:hint="eastAsia" w:ascii="宋体"/>
          <w:szCs w:val="21"/>
        </w:rPr>
        <w:t>（9）经评审的投标人排序；</w:t>
      </w:r>
    </w:p>
    <w:p>
      <w:pPr>
        <w:spacing w:line="440" w:lineRule="exact"/>
        <w:ind w:firstLine="440" w:firstLineChars="200"/>
        <w:rPr>
          <w:rFonts w:hint="eastAsia" w:ascii="宋体"/>
          <w:szCs w:val="21"/>
        </w:rPr>
      </w:pPr>
      <w:r>
        <w:rPr>
          <w:rFonts w:hint="eastAsia" w:ascii="宋体"/>
          <w:szCs w:val="21"/>
        </w:rPr>
        <w:t>（10）推荐的中标候选人名单；</w:t>
      </w:r>
    </w:p>
    <w:p>
      <w:pPr>
        <w:spacing w:line="440" w:lineRule="exact"/>
        <w:ind w:firstLine="440" w:firstLineChars="200"/>
        <w:rPr>
          <w:rFonts w:hint="eastAsia" w:ascii="宋体"/>
          <w:szCs w:val="21"/>
        </w:rPr>
      </w:pPr>
      <w:r>
        <w:rPr>
          <w:rFonts w:hint="eastAsia" w:ascii="宋体"/>
          <w:szCs w:val="21"/>
        </w:rPr>
        <w:t>（11）澄清、说明、补正事项纪要。</w:t>
      </w:r>
    </w:p>
    <w:p>
      <w:pPr>
        <w:tabs>
          <w:tab w:val="left" w:pos="720"/>
        </w:tabs>
        <w:spacing w:line="440" w:lineRule="exact"/>
        <w:ind w:firstLine="220" w:firstLineChars="100"/>
        <w:jc w:val="left"/>
        <w:rPr>
          <w:rFonts w:hint="eastAsia" w:ascii="宋体"/>
          <w:b w:val="0"/>
          <w:bCs w:val="0"/>
          <w:color w:val="auto"/>
          <w:szCs w:val="21"/>
        </w:rPr>
      </w:pPr>
      <w:r>
        <w:rPr>
          <w:rFonts w:hint="eastAsia" w:ascii="宋体"/>
          <w:b w:val="0"/>
          <w:bCs w:val="0"/>
          <w:color w:val="auto"/>
          <w:szCs w:val="21"/>
        </w:rPr>
        <w:t xml:space="preserve">30.5 </w:t>
      </w:r>
      <w:r>
        <w:rPr>
          <w:rFonts w:hint="eastAsia"/>
          <w:b w:val="0"/>
          <w:bCs w:val="0"/>
          <w:color w:val="auto"/>
          <w:szCs w:val="21"/>
          <w:lang w:eastAsia="zh-CN"/>
        </w:rPr>
        <w:t>评标小组</w:t>
      </w:r>
      <w:r>
        <w:rPr>
          <w:rFonts w:hint="eastAsia" w:ascii="宋体"/>
          <w:b w:val="0"/>
          <w:bCs w:val="0"/>
          <w:color w:val="auto"/>
          <w:szCs w:val="21"/>
        </w:rPr>
        <w:t>接受招标人授权对投标人资格进行审查。</w:t>
      </w:r>
    </w:p>
    <w:p>
      <w:pPr>
        <w:tabs>
          <w:tab w:val="left" w:pos="720"/>
        </w:tabs>
        <w:spacing w:line="440" w:lineRule="exact"/>
        <w:ind w:firstLine="220" w:firstLineChars="100"/>
        <w:jc w:val="left"/>
        <w:rPr>
          <w:rFonts w:hint="eastAsia" w:ascii="宋体"/>
          <w:szCs w:val="21"/>
        </w:rPr>
      </w:pPr>
      <w:r>
        <w:rPr>
          <w:rFonts w:hint="eastAsia" w:ascii="宋体"/>
          <w:szCs w:val="21"/>
        </w:rPr>
        <w:t>30.6</w:t>
      </w:r>
      <w:r>
        <w:rPr>
          <w:rFonts w:hint="eastAsia"/>
          <w:szCs w:val="21"/>
          <w:lang w:eastAsia="zh-CN"/>
        </w:rPr>
        <w:t>评标小组</w:t>
      </w:r>
      <w:r>
        <w:rPr>
          <w:rFonts w:hint="eastAsia" w:ascii="宋体"/>
          <w:szCs w:val="21"/>
        </w:rPr>
        <w:t>应自觉接受有关监督管理部门的现场监督，</w:t>
      </w:r>
      <w:r>
        <w:rPr>
          <w:rFonts w:hint="eastAsia"/>
          <w:szCs w:val="21"/>
          <w:lang w:eastAsia="zh-CN"/>
        </w:rPr>
        <w:t>评标小组</w:t>
      </w:r>
      <w:r>
        <w:rPr>
          <w:rFonts w:hint="eastAsia" w:ascii="宋体"/>
          <w:szCs w:val="21"/>
        </w:rPr>
        <w:t>成员与评标活动有关的工作人员和监督人员不得向他人透露对投标文件的评审和比较、中标候选人的推荐以及与评标有关的其他情况。投标文件及与评标有关的资料应当保密。</w:t>
      </w:r>
    </w:p>
    <w:p>
      <w:pPr>
        <w:spacing w:line="440" w:lineRule="exact"/>
        <w:ind w:firstLine="216" w:firstLineChars="98"/>
        <w:jc w:val="left"/>
        <w:rPr>
          <w:rFonts w:hint="eastAsia" w:ascii="宋体"/>
          <w:b/>
          <w:szCs w:val="21"/>
        </w:rPr>
      </w:pPr>
      <w:r>
        <w:rPr>
          <w:rFonts w:hint="eastAsia" w:ascii="宋体"/>
          <w:b/>
          <w:szCs w:val="21"/>
        </w:rPr>
        <w:t>31. 评标</w:t>
      </w:r>
    </w:p>
    <w:p>
      <w:pPr>
        <w:spacing w:line="440" w:lineRule="exact"/>
        <w:ind w:firstLine="220" w:firstLineChars="100"/>
        <w:rPr>
          <w:rFonts w:hint="eastAsia" w:ascii="宋体"/>
          <w:szCs w:val="21"/>
        </w:rPr>
      </w:pPr>
      <w:r>
        <w:rPr>
          <w:rFonts w:hint="eastAsia" w:ascii="宋体"/>
          <w:szCs w:val="21"/>
        </w:rPr>
        <w:t>31.1  评标准备工作</w:t>
      </w:r>
    </w:p>
    <w:p>
      <w:pPr>
        <w:spacing w:line="440" w:lineRule="exact"/>
        <w:ind w:firstLine="220" w:firstLineChars="100"/>
        <w:rPr>
          <w:rFonts w:hint="eastAsia" w:ascii="宋体"/>
          <w:szCs w:val="21"/>
        </w:rPr>
      </w:pPr>
      <w:r>
        <w:rPr>
          <w:rFonts w:hint="eastAsia" w:ascii="宋体"/>
          <w:szCs w:val="21"/>
        </w:rPr>
        <w:t>31.1.1阅读由招标人或招标代理单位编写的招标项目情况的说明材料；</w:t>
      </w:r>
    </w:p>
    <w:p>
      <w:pPr>
        <w:spacing w:line="440" w:lineRule="exact"/>
        <w:ind w:firstLine="220" w:firstLineChars="100"/>
        <w:rPr>
          <w:rFonts w:hint="eastAsia" w:ascii="宋体"/>
          <w:szCs w:val="21"/>
        </w:rPr>
      </w:pPr>
      <w:r>
        <w:rPr>
          <w:rFonts w:hint="eastAsia" w:ascii="宋体"/>
          <w:szCs w:val="21"/>
        </w:rPr>
        <w:t>31.1.2阅读、研究交易文件和相关评标资料，获取评标所需要的重要信息和数据；</w:t>
      </w:r>
    </w:p>
    <w:p>
      <w:pPr>
        <w:spacing w:line="440" w:lineRule="exact"/>
        <w:ind w:firstLine="220" w:firstLineChars="100"/>
        <w:rPr>
          <w:rFonts w:hint="eastAsia" w:ascii="宋体"/>
          <w:szCs w:val="21"/>
        </w:rPr>
      </w:pPr>
      <w:r>
        <w:rPr>
          <w:rFonts w:hint="eastAsia" w:ascii="宋体"/>
          <w:szCs w:val="21"/>
        </w:rPr>
        <w:t>31.1.3熟悉交易文件规定的评标方法及在评标过程中需要考虑的相关因素；</w:t>
      </w:r>
    </w:p>
    <w:p>
      <w:pPr>
        <w:spacing w:line="440" w:lineRule="exact"/>
        <w:ind w:firstLine="220" w:firstLineChars="100"/>
        <w:rPr>
          <w:rFonts w:hint="eastAsia" w:ascii="宋体"/>
          <w:szCs w:val="21"/>
        </w:rPr>
      </w:pPr>
      <w:r>
        <w:rPr>
          <w:rFonts w:hint="eastAsia" w:ascii="宋体"/>
          <w:szCs w:val="21"/>
        </w:rPr>
        <w:t>31.1.4核对评标工作用表。</w:t>
      </w:r>
    </w:p>
    <w:p>
      <w:pPr>
        <w:spacing w:line="440" w:lineRule="exact"/>
        <w:ind w:firstLine="220" w:firstLineChars="100"/>
        <w:rPr>
          <w:rFonts w:hint="eastAsia" w:ascii="宋体"/>
          <w:szCs w:val="21"/>
        </w:rPr>
      </w:pPr>
      <w:r>
        <w:rPr>
          <w:rFonts w:hint="eastAsia" w:ascii="宋体"/>
          <w:szCs w:val="21"/>
        </w:rPr>
        <w:t>31.2  评标办法</w:t>
      </w:r>
    </w:p>
    <w:p>
      <w:pPr>
        <w:spacing w:line="440" w:lineRule="exact"/>
        <w:ind w:firstLine="220" w:firstLineChars="100"/>
        <w:rPr>
          <w:rFonts w:hint="eastAsia" w:ascii="宋体"/>
          <w:szCs w:val="21"/>
        </w:rPr>
      </w:pPr>
      <w:r>
        <w:rPr>
          <w:rFonts w:hint="eastAsia" w:ascii="宋体"/>
          <w:szCs w:val="21"/>
        </w:rPr>
        <w:t>31.2.1</w:t>
      </w:r>
      <w:r>
        <w:rPr>
          <w:rFonts w:hint="eastAsia"/>
          <w:szCs w:val="21"/>
          <w:lang w:eastAsia="zh-CN"/>
        </w:rPr>
        <w:t>评标小组</w:t>
      </w:r>
      <w:r>
        <w:rPr>
          <w:rFonts w:hint="eastAsia" w:ascii="宋体"/>
          <w:szCs w:val="21"/>
        </w:rPr>
        <w:t>按照第三章“评标办法”规定的方法、评审因素、标准和程序对投标文件进行评审。第三章“评标办法”没有规定的方法、评审因素和标准，不作为评标依据。</w:t>
      </w:r>
    </w:p>
    <w:p>
      <w:pPr>
        <w:spacing w:line="440" w:lineRule="exact"/>
        <w:ind w:firstLine="220" w:firstLineChars="100"/>
        <w:rPr>
          <w:rFonts w:hint="eastAsia" w:ascii="宋体"/>
          <w:szCs w:val="21"/>
        </w:rPr>
      </w:pPr>
      <w:r>
        <w:rPr>
          <w:rFonts w:hint="eastAsia" w:ascii="宋体"/>
          <w:szCs w:val="21"/>
        </w:rPr>
        <w:t>31.3评标原则：</w:t>
      </w:r>
    </w:p>
    <w:p>
      <w:pPr>
        <w:spacing w:line="440" w:lineRule="exact"/>
        <w:ind w:firstLine="440" w:firstLineChars="200"/>
        <w:jc w:val="left"/>
        <w:rPr>
          <w:rFonts w:hint="eastAsia" w:ascii="宋体"/>
          <w:szCs w:val="21"/>
        </w:rPr>
      </w:pPr>
      <w:r>
        <w:rPr>
          <w:rFonts w:hint="eastAsia" w:ascii="宋体"/>
          <w:szCs w:val="21"/>
        </w:rPr>
        <w:t>遵循公平、公正、科学和择优的原则。</w:t>
      </w:r>
    </w:p>
    <w:p>
      <w:pPr>
        <w:spacing w:line="440" w:lineRule="exact"/>
        <w:ind w:firstLine="215" w:firstLineChars="98"/>
        <w:jc w:val="left"/>
        <w:rPr>
          <w:rFonts w:hint="eastAsia" w:ascii="宋体"/>
          <w:szCs w:val="21"/>
        </w:rPr>
      </w:pPr>
      <w:r>
        <w:rPr>
          <w:rFonts w:hint="eastAsia" w:ascii="宋体"/>
          <w:szCs w:val="21"/>
        </w:rPr>
        <w:t>31.5投标文件的澄清</w:t>
      </w:r>
    </w:p>
    <w:p>
      <w:pPr>
        <w:spacing w:line="440" w:lineRule="exact"/>
        <w:ind w:firstLine="220" w:firstLineChars="100"/>
        <w:jc w:val="left"/>
        <w:rPr>
          <w:rFonts w:hint="eastAsia" w:ascii="宋体"/>
          <w:szCs w:val="21"/>
        </w:rPr>
      </w:pPr>
      <w:r>
        <w:rPr>
          <w:rFonts w:hint="eastAsia" w:ascii="宋体"/>
          <w:szCs w:val="21"/>
        </w:rPr>
        <w:t>31.5.1 在评标过程中，</w:t>
      </w:r>
      <w:r>
        <w:rPr>
          <w:rFonts w:hint="eastAsia"/>
          <w:szCs w:val="21"/>
          <w:lang w:eastAsia="zh-CN"/>
        </w:rPr>
        <w:t>评标小组</w:t>
      </w:r>
      <w:r>
        <w:rPr>
          <w:rFonts w:hint="eastAsia" w:ascii="宋体"/>
          <w:szCs w:val="21"/>
        </w:rPr>
        <w:t>认为需要，可要求投标人对投标文件中的有关问题进行澄清或提供补充说明及有关资料，投标人应做出书面答复。</w:t>
      </w:r>
    </w:p>
    <w:p>
      <w:pPr>
        <w:spacing w:line="440" w:lineRule="exact"/>
        <w:ind w:firstLine="220" w:firstLineChars="100"/>
        <w:jc w:val="left"/>
        <w:rPr>
          <w:rFonts w:hint="eastAsia" w:ascii="宋体"/>
          <w:szCs w:val="21"/>
        </w:rPr>
      </w:pPr>
      <w:r>
        <w:rPr>
          <w:rFonts w:hint="eastAsia" w:ascii="宋体"/>
          <w:szCs w:val="21"/>
        </w:rPr>
        <w:t>31.5.2 书面答复须经投标人法定代表人或其委托代理人签字或盖章，签字或盖章的书面答复将被视为投标文件的组成部分。</w:t>
      </w:r>
    </w:p>
    <w:p>
      <w:pPr>
        <w:spacing w:line="440" w:lineRule="exact"/>
        <w:ind w:firstLine="220" w:firstLineChars="100"/>
        <w:rPr>
          <w:rFonts w:hint="eastAsia" w:ascii="宋体"/>
          <w:szCs w:val="21"/>
        </w:rPr>
      </w:pPr>
      <w:r>
        <w:rPr>
          <w:rFonts w:hint="eastAsia" w:ascii="宋体"/>
          <w:szCs w:val="21"/>
        </w:rPr>
        <w:t>31.7评审意见分歧的处理办法:</w:t>
      </w:r>
    </w:p>
    <w:p>
      <w:pPr>
        <w:spacing w:line="440" w:lineRule="exact"/>
        <w:ind w:firstLine="440" w:firstLineChars="200"/>
        <w:rPr>
          <w:rFonts w:hint="eastAsia" w:ascii="宋体"/>
          <w:szCs w:val="21"/>
        </w:rPr>
      </w:pPr>
      <w:r>
        <w:rPr>
          <w:rFonts w:hint="eastAsia" w:ascii="宋体"/>
          <w:szCs w:val="21"/>
        </w:rPr>
        <w:t>（1）</w:t>
      </w:r>
      <w:r>
        <w:rPr>
          <w:rFonts w:hint="eastAsia"/>
          <w:szCs w:val="21"/>
          <w:lang w:eastAsia="zh-CN"/>
        </w:rPr>
        <w:t>评标小组</w:t>
      </w:r>
      <w:r>
        <w:rPr>
          <w:rFonts w:hint="eastAsia" w:ascii="宋体"/>
          <w:szCs w:val="21"/>
        </w:rPr>
        <w:t>应当对投标人提供的报告、证明材料及详细说明认真研究。对存在意见分歧的，可采用投票方式表决决定（按多数评委意见为准）；</w:t>
      </w:r>
    </w:p>
    <w:p>
      <w:pPr>
        <w:spacing w:line="440" w:lineRule="exact"/>
        <w:ind w:firstLine="440" w:firstLineChars="200"/>
        <w:rPr>
          <w:rFonts w:hint="eastAsia" w:ascii="宋体"/>
          <w:szCs w:val="21"/>
        </w:rPr>
      </w:pPr>
      <w:r>
        <w:rPr>
          <w:rFonts w:hint="eastAsia" w:ascii="宋体"/>
          <w:szCs w:val="21"/>
        </w:rPr>
        <w:t>（2）招标投标当事人对评标结果提出异议或者投诉，</w:t>
      </w:r>
      <w:r>
        <w:rPr>
          <w:rFonts w:hint="eastAsia" w:ascii="宋体"/>
          <w:szCs w:val="21"/>
          <w:lang w:eastAsia="zh-CN"/>
        </w:rPr>
        <w:t>招标人</w:t>
      </w:r>
      <w:r>
        <w:rPr>
          <w:rFonts w:hint="eastAsia" w:ascii="宋体"/>
          <w:szCs w:val="21"/>
        </w:rPr>
        <w:t>认为需要重新进行评标的，</w:t>
      </w:r>
      <w:r>
        <w:rPr>
          <w:rFonts w:hint="eastAsia"/>
          <w:szCs w:val="21"/>
          <w:lang w:eastAsia="zh-CN"/>
        </w:rPr>
        <w:t>评标小组</w:t>
      </w:r>
      <w:r>
        <w:rPr>
          <w:rFonts w:hint="eastAsia" w:ascii="宋体"/>
          <w:szCs w:val="21"/>
        </w:rPr>
        <w:t>成员应当按照</w:t>
      </w:r>
      <w:r>
        <w:rPr>
          <w:rFonts w:hint="eastAsia" w:ascii="宋体"/>
          <w:szCs w:val="21"/>
          <w:lang w:eastAsia="zh-CN"/>
        </w:rPr>
        <w:t>招标人</w:t>
      </w:r>
      <w:r>
        <w:rPr>
          <w:rFonts w:hint="eastAsia" w:ascii="宋体"/>
          <w:szCs w:val="21"/>
        </w:rPr>
        <w:t>要求重新评标。</w:t>
      </w:r>
    </w:p>
    <w:p>
      <w:pPr>
        <w:spacing w:line="440" w:lineRule="exact"/>
        <w:ind w:firstLine="220" w:firstLineChars="100"/>
        <w:rPr>
          <w:rFonts w:hint="eastAsia" w:ascii="宋体"/>
          <w:szCs w:val="21"/>
        </w:rPr>
      </w:pPr>
      <w:r>
        <w:rPr>
          <w:rFonts w:hint="eastAsia" w:ascii="宋体"/>
          <w:szCs w:val="21"/>
        </w:rPr>
        <w:t>31.8评标报告的签署</w:t>
      </w:r>
    </w:p>
    <w:p>
      <w:pPr>
        <w:spacing w:line="440" w:lineRule="exact"/>
        <w:ind w:firstLine="220" w:firstLineChars="100"/>
        <w:jc w:val="left"/>
        <w:rPr>
          <w:rFonts w:hint="eastAsia" w:ascii="宋体"/>
          <w:szCs w:val="21"/>
        </w:rPr>
      </w:pPr>
      <w:r>
        <w:rPr>
          <w:rFonts w:hint="eastAsia" w:ascii="宋体"/>
          <w:szCs w:val="21"/>
        </w:rPr>
        <w:t xml:space="preserve">31.8.1 </w:t>
      </w:r>
      <w:r>
        <w:rPr>
          <w:rFonts w:hint="eastAsia"/>
          <w:szCs w:val="21"/>
          <w:lang w:eastAsia="zh-CN"/>
        </w:rPr>
        <w:t>评标小组</w:t>
      </w:r>
      <w:r>
        <w:rPr>
          <w:rFonts w:hint="eastAsia" w:ascii="宋体"/>
          <w:szCs w:val="21"/>
        </w:rPr>
        <w:t>应当编制书面评标报告,所有成员应签字确认。对评标结论持有异议的</w:t>
      </w:r>
      <w:r>
        <w:rPr>
          <w:rFonts w:hint="eastAsia"/>
          <w:szCs w:val="21"/>
          <w:lang w:eastAsia="zh-CN"/>
        </w:rPr>
        <w:t>评标小组</w:t>
      </w:r>
      <w:r>
        <w:rPr>
          <w:rFonts w:hint="eastAsia" w:ascii="宋体"/>
          <w:szCs w:val="21"/>
        </w:rPr>
        <w:t>成员可以书面方式阐述其不同意见和理由。</w:t>
      </w:r>
      <w:r>
        <w:rPr>
          <w:rFonts w:hint="eastAsia"/>
          <w:szCs w:val="21"/>
          <w:lang w:eastAsia="zh-CN"/>
        </w:rPr>
        <w:t>评标小组</w:t>
      </w:r>
      <w:r>
        <w:rPr>
          <w:rFonts w:hint="eastAsia" w:ascii="宋体"/>
          <w:szCs w:val="21"/>
        </w:rPr>
        <w:t>成员拒绝在评标报告上签字且不陈述其不同意见和理由的，视为同意评标结论。</w:t>
      </w:r>
    </w:p>
    <w:p>
      <w:pPr>
        <w:spacing w:line="440" w:lineRule="exact"/>
        <w:ind w:firstLine="220" w:firstLineChars="100"/>
        <w:rPr>
          <w:rFonts w:hint="eastAsia" w:ascii="宋体"/>
          <w:szCs w:val="21"/>
        </w:rPr>
      </w:pPr>
      <w:r>
        <w:rPr>
          <w:rFonts w:hint="eastAsia" w:ascii="宋体"/>
          <w:szCs w:val="21"/>
        </w:rPr>
        <w:t>31.9评标过程的保密</w:t>
      </w:r>
    </w:p>
    <w:p>
      <w:pPr>
        <w:spacing w:line="440" w:lineRule="exact"/>
        <w:ind w:firstLine="240" w:firstLineChars="100"/>
        <w:jc w:val="left"/>
        <w:rPr>
          <w:rFonts w:hint="eastAsia" w:ascii="宋体"/>
          <w:szCs w:val="21"/>
        </w:rPr>
      </w:pPr>
      <w:r>
        <w:rPr>
          <w:sz w:val="24"/>
        </w:rPr>
        <w:t> </w:t>
      </w:r>
      <w:r>
        <w:rPr>
          <w:rFonts w:hint="eastAsia"/>
          <w:szCs w:val="21"/>
          <w:lang w:eastAsia="zh-CN"/>
        </w:rPr>
        <w:t>评标小组</w:t>
      </w:r>
      <w:r>
        <w:rPr>
          <w:rFonts w:ascii="宋体"/>
          <w:szCs w:val="21"/>
        </w:rPr>
        <w:t>成员和与评标活动有关的工作人员不得透露对投标文件的评审和比较、中标候选人的推荐情况以及与评标有关的其他情况</w:t>
      </w:r>
      <w:r>
        <w:rPr>
          <w:rFonts w:hint="eastAsia" w:ascii="宋体"/>
          <w:szCs w:val="21"/>
        </w:rPr>
        <w:t>。</w:t>
      </w:r>
    </w:p>
    <w:p>
      <w:pPr>
        <w:spacing w:line="440" w:lineRule="exact"/>
        <w:ind w:firstLine="220" w:firstLineChars="100"/>
        <w:jc w:val="left"/>
        <w:rPr>
          <w:rFonts w:hint="eastAsia" w:ascii="宋体"/>
          <w:b w:val="0"/>
          <w:bCs w:val="0"/>
          <w:color w:val="auto"/>
          <w:szCs w:val="21"/>
        </w:rPr>
      </w:pPr>
      <w:r>
        <w:rPr>
          <w:rFonts w:hint="eastAsia" w:ascii="宋体"/>
          <w:b w:val="0"/>
          <w:bCs w:val="0"/>
          <w:color w:val="auto"/>
          <w:szCs w:val="21"/>
        </w:rPr>
        <w:t>31.10评标结果公告</w:t>
      </w:r>
    </w:p>
    <w:p>
      <w:pPr>
        <w:snapToGrid w:val="0"/>
        <w:spacing w:line="360" w:lineRule="exact"/>
        <w:rPr>
          <w:rFonts w:hint="eastAsia" w:ascii="宋体"/>
          <w:b w:val="0"/>
          <w:bCs w:val="0"/>
          <w:color w:val="auto"/>
          <w:szCs w:val="21"/>
        </w:rPr>
      </w:pPr>
      <w:r>
        <w:rPr>
          <w:rFonts w:hint="eastAsia" w:ascii="宋体"/>
          <w:b w:val="0"/>
          <w:bCs w:val="0"/>
          <w:color w:val="auto"/>
          <w:szCs w:val="21"/>
        </w:rPr>
        <w:t xml:space="preserve">    招标人应将所有中标候选人的情况在在滁州市琅琊山风景名胜区管理委员会网站（http://lgw.chuzhou.gov.cn/index.html）</w:t>
      </w:r>
      <w:r>
        <w:rPr>
          <w:rFonts w:hint="eastAsia" w:ascii="宋体"/>
          <w:b w:val="0"/>
          <w:bCs w:val="0"/>
          <w:color w:val="auto"/>
          <w:szCs w:val="21"/>
          <w:highlight w:val="none"/>
        </w:rPr>
        <w:t>网站予以公告</w:t>
      </w:r>
      <w:r>
        <w:rPr>
          <w:rFonts w:hint="eastAsia" w:ascii="宋体"/>
          <w:b w:val="0"/>
          <w:bCs w:val="0"/>
          <w:color w:val="auto"/>
          <w:szCs w:val="21"/>
        </w:rPr>
        <w:t>，公示期为3日（若有业绩要求，业绩同时公告）。</w:t>
      </w:r>
    </w:p>
    <w:p>
      <w:pPr>
        <w:snapToGrid w:val="0"/>
        <w:spacing w:line="360" w:lineRule="exact"/>
        <w:ind w:firstLine="421"/>
        <w:rPr>
          <w:rFonts w:hint="eastAsia" w:ascii="宋体"/>
          <w:b/>
          <w:szCs w:val="21"/>
        </w:rPr>
      </w:pPr>
      <w:r>
        <w:rPr>
          <w:rFonts w:hint="eastAsia" w:ascii="宋体"/>
          <w:b/>
          <w:szCs w:val="21"/>
        </w:rPr>
        <w:t>32. 定标</w:t>
      </w:r>
    </w:p>
    <w:p>
      <w:pPr>
        <w:spacing w:line="400" w:lineRule="exact"/>
        <w:jc w:val="left"/>
        <w:rPr>
          <w:rFonts w:hint="eastAsia" w:ascii="宋体"/>
          <w:szCs w:val="21"/>
        </w:rPr>
      </w:pPr>
      <w:r>
        <w:rPr>
          <w:rFonts w:hint="eastAsia" w:ascii="宋体"/>
          <w:szCs w:val="21"/>
        </w:rPr>
        <w:t xml:space="preserve">    32.1 中标人的确定</w:t>
      </w:r>
    </w:p>
    <w:p>
      <w:pPr>
        <w:spacing w:line="400" w:lineRule="exact"/>
        <w:ind w:firstLine="440" w:firstLineChars="200"/>
        <w:rPr>
          <w:rFonts w:hint="eastAsia" w:ascii="宋体" w:eastAsia="宋体"/>
          <w:szCs w:val="21"/>
          <w:highlight w:val="yellow"/>
          <w:lang w:eastAsia="zh-CN"/>
        </w:rPr>
      </w:pPr>
      <w:r>
        <w:rPr>
          <w:rFonts w:hint="eastAsia" w:ascii="宋体"/>
          <w:szCs w:val="21"/>
        </w:rPr>
        <w:t>32.1.1除投标人须知前附表规定</w:t>
      </w:r>
      <w:r>
        <w:rPr>
          <w:rFonts w:hint="eastAsia"/>
          <w:szCs w:val="21"/>
          <w:lang w:eastAsia="zh-CN"/>
        </w:rPr>
        <w:t>评标小组</w:t>
      </w:r>
      <w:r>
        <w:rPr>
          <w:rFonts w:hint="eastAsia" w:ascii="宋体"/>
          <w:szCs w:val="21"/>
        </w:rPr>
        <w:t>直接确定中标人外，招标人依据</w:t>
      </w:r>
      <w:r>
        <w:rPr>
          <w:rFonts w:hint="eastAsia"/>
          <w:szCs w:val="21"/>
          <w:lang w:eastAsia="zh-CN"/>
        </w:rPr>
        <w:t>评标小组</w:t>
      </w:r>
      <w:r>
        <w:rPr>
          <w:rFonts w:hint="eastAsia" w:ascii="宋体"/>
          <w:szCs w:val="21"/>
        </w:rPr>
        <w:t>推荐的中标候选人确定中标人，</w:t>
      </w:r>
      <w:r>
        <w:rPr>
          <w:rFonts w:hint="eastAsia"/>
          <w:szCs w:val="21"/>
          <w:highlight w:val="none"/>
          <w:lang w:eastAsia="zh-CN"/>
        </w:rPr>
        <w:t>评标小组</w:t>
      </w:r>
      <w:r>
        <w:rPr>
          <w:rFonts w:hint="eastAsia" w:ascii="宋体"/>
          <w:szCs w:val="21"/>
          <w:highlight w:val="none"/>
        </w:rPr>
        <w:t>推荐中标候选人</w:t>
      </w:r>
      <w:r>
        <w:rPr>
          <w:rFonts w:hint="eastAsia"/>
          <w:szCs w:val="21"/>
          <w:highlight w:val="none"/>
          <w:lang w:val="en-US" w:eastAsia="zh-CN"/>
        </w:rPr>
        <w:t>的人数见投标人须知前附表</w:t>
      </w:r>
      <w:r>
        <w:rPr>
          <w:rFonts w:hint="eastAsia"/>
          <w:szCs w:val="21"/>
          <w:highlight w:val="none"/>
          <w:lang w:eastAsia="zh-CN"/>
        </w:rPr>
        <w:t>。</w:t>
      </w:r>
    </w:p>
    <w:p>
      <w:pPr>
        <w:spacing w:line="400" w:lineRule="exact"/>
        <w:ind w:left="125" w:leftChars="57" w:firstLine="330" w:firstLineChars="150"/>
        <w:jc w:val="left"/>
        <w:rPr>
          <w:rFonts w:hint="eastAsia" w:ascii="宋体"/>
          <w:szCs w:val="21"/>
        </w:rPr>
      </w:pPr>
      <w:r>
        <w:rPr>
          <w:rFonts w:hint="eastAsia" w:ascii="宋体"/>
          <w:szCs w:val="21"/>
        </w:rPr>
        <w:t>32.1.2中</w:t>
      </w:r>
      <w:r>
        <w:rPr>
          <w:rFonts w:hint="eastAsia" w:ascii="宋体"/>
          <w:color w:val="auto"/>
          <w:szCs w:val="21"/>
        </w:rPr>
        <w:t>标人确定后，招标人应将中标人名单</w:t>
      </w:r>
      <w:r>
        <w:rPr>
          <w:rFonts w:hint="eastAsia"/>
          <w:color w:val="auto"/>
          <w:szCs w:val="21"/>
        </w:rPr>
        <w:t>在</w:t>
      </w:r>
      <w:r>
        <w:rPr>
          <w:rFonts w:hint="eastAsia" w:ascii="宋体" w:hAnsi="宋体" w:eastAsia="宋体" w:cs="宋体"/>
          <w:color w:val="auto"/>
          <w:sz w:val="21"/>
          <w:szCs w:val="21"/>
        </w:rPr>
        <w:t>滁州市琅琊山风景名胜区管理委员会</w:t>
      </w:r>
      <w:r>
        <w:rPr>
          <w:rFonts w:hint="eastAsia"/>
          <w:color w:val="auto"/>
          <w:szCs w:val="21"/>
        </w:rPr>
        <w:t>网站</w:t>
      </w:r>
      <w:r>
        <w:rPr>
          <w:rFonts w:hint="eastAsia" w:ascii="宋体"/>
          <w:color w:val="auto"/>
          <w:szCs w:val="21"/>
        </w:rPr>
        <w:t>上公告。</w:t>
      </w:r>
    </w:p>
    <w:p>
      <w:pPr>
        <w:snapToGrid w:val="0"/>
        <w:spacing w:line="400" w:lineRule="exact"/>
        <w:ind w:firstLine="440" w:firstLineChars="200"/>
        <w:rPr>
          <w:rFonts w:hint="eastAsia" w:ascii="宋体"/>
          <w:szCs w:val="21"/>
        </w:rPr>
      </w:pPr>
      <w:r>
        <w:rPr>
          <w:rFonts w:hint="eastAsia" w:ascii="宋体"/>
          <w:szCs w:val="21"/>
        </w:rPr>
        <w:t>32.2 中标通知书</w:t>
      </w:r>
    </w:p>
    <w:p>
      <w:pPr>
        <w:pStyle w:val="9"/>
        <w:spacing w:line="400" w:lineRule="exact"/>
        <w:ind w:firstLine="440" w:firstLineChars="200"/>
        <w:rPr>
          <w:rFonts w:hint="eastAsia"/>
          <w:color w:val="auto"/>
        </w:rPr>
      </w:pPr>
      <w:r>
        <w:rPr>
          <w:rFonts w:hint="eastAsia" w:ascii="宋体"/>
          <w:color w:val="auto"/>
          <w:szCs w:val="21"/>
        </w:rPr>
        <w:t>32.2.1</w:t>
      </w:r>
      <w:r>
        <w:rPr>
          <w:rFonts w:hint="eastAsia"/>
          <w:color w:val="auto"/>
        </w:rPr>
        <w:t>招标人或招标代理机构应在中标人确定之日起</w:t>
      </w:r>
      <w:r>
        <w:rPr>
          <w:rFonts w:hint="eastAsia"/>
          <w:color w:val="auto"/>
          <w:lang w:val="en-US" w:eastAsia="zh-CN"/>
        </w:rPr>
        <w:t>3</w:t>
      </w:r>
      <w:r>
        <w:rPr>
          <w:rFonts w:hint="eastAsia"/>
          <w:color w:val="auto"/>
        </w:rPr>
        <w:t>个工作日内，在滁州市琅琊山风景名胜区管理委员会网站公告中标结果并同时向中标人发出中标通知书。</w:t>
      </w:r>
    </w:p>
    <w:p>
      <w:pPr>
        <w:snapToGrid w:val="0"/>
        <w:spacing w:line="500" w:lineRule="exact"/>
        <w:ind w:firstLine="440" w:firstLineChars="200"/>
        <w:rPr>
          <w:rFonts w:hint="eastAsia" w:ascii="宋体"/>
          <w:szCs w:val="21"/>
        </w:rPr>
      </w:pPr>
      <w:r>
        <w:rPr>
          <w:rFonts w:hint="eastAsia" w:ascii="宋体"/>
          <w:szCs w:val="21"/>
        </w:rPr>
        <w:t>32.2.2中标通知书须加盖招标人、招标代理公司公章后，方可发出。</w:t>
      </w:r>
    </w:p>
    <w:p>
      <w:pPr>
        <w:spacing w:line="440" w:lineRule="exact"/>
        <w:ind w:firstLine="216" w:firstLineChars="98"/>
        <w:jc w:val="left"/>
        <w:rPr>
          <w:rFonts w:hint="eastAsia" w:ascii="宋体"/>
          <w:b/>
          <w:szCs w:val="21"/>
        </w:rPr>
      </w:pPr>
      <w:r>
        <w:rPr>
          <w:rFonts w:hint="eastAsia" w:ascii="宋体"/>
          <w:b/>
          <w:szCs w:val="21"/>
        </w:rPr>
        <w:t>33. 开评标异常情况处理</w:t>
      </w:r>
    </w:p>
    <w:p>
      <w:pPr>
        <w:adjustRightInd w:val="0"/>
        <w:snapToGrid w:val="0"/>
        <w:spacing w:line="440" w:lineRule="exact"/>
        <w:ind w:firstLine="440" w:firstLineChars="200"/>
        <w:rPr>
          <w:rFonts w:hint="eastAsia" w:ascii="宋体"/>
          <w:kern w:val="10"/>
          <w:szCs w:val="21"/>
        </w:rPr>
      </w:pPr>
      <w:r>
        <w:rPr>
          <w:rFonts w:hint="eastAsia" w:ascii="宋体"/>
          <w:kern w:val="10"/>
          <w:szCs w:val="21"/>
        </w:rPr>
        <w:t xml:space="preserve">33.1重新招标 </w:t>
      </w:r>
    </w:p>
    <w:p>
      <w:pPr>
        <w:adjustRightInd w:val="0"/>
        <w:snapToGrid w:val="0"/>
        <w:spacing w:line="440" w:lineRule="exact"/>
        <w:ind w:firstLine="440" w:firstLineChars="200"/>
        <w:rPr>
          <w:rFonts w:hint="eastAsia" w:ascii="宋体"/>
          <w:kern w:val="10"/>
          <w:szCs w:val="21"/>
        </w:rPr>
      </w:pPr>
      <w:r>
        <w:rPr>
          <w:rFonts w:hint="eastAsia" w:ascii="宋体"/>
          <w:kern w:val="10"/>
          <w:szCs w:val="21"/>
        </w:rPr>
        <w:t>有下列情形之一的，招标人将重新招标：</w:t>
      </w:r>
    </w:p>
    <w:p>
      <w:pPr>
        <w:adjustRightInd w:val="0"/>
        <w:snapToGrid w:val="0"/>
        <w:spacing w:line="440" w:lineRule="exact"/>
        <w:ind w:firstLine="440" w:firstLineChars="200"/>
        <w:rPr>
          <w:rFonts w:hint="eastAsia" w:ascii="宋体"/>
          <w:kern w:val="10"/>
          <w:szCs w:val="21"/>
        </w:rPr>
      </w:pPr>
      <w:r>
        <w:rPr>
          <w:rFonts w:hint="eastAsia" w:ascii="宋体"/>
          <w:kern w:val="10"/>
          <w:szCs w:val="21"/>
        </w:rPr>
        <w:t>(1)经</w:t>
      </w:r>
      <w:r>
        <w:rPr>
          <w:rFonts w:hint="eastAsia"/>
          <w:kern w:val="10"/>
          <w:szCs w:val="21"/>
          <w:lang w:eastAsia="zh-CN"/>
        </w:rPr>
        <w:t>评标小组</w:t>
      </w:r>
      <w:r>
        <w:rPr>
          <w:rFonts w:hint="eastAsia" w:ascii="宋体"/>
          <w:kern w:val="10"/>
          <w:szCs w:val="21"/>
        </w:rPr>
        <w:t>评审后否决所有投标的；</w:t>
      </w:r>
    </w:p>
    <w:p>
      <w:pPr>
        <w:spacing w:line="440" w:lineRule="exact"/>
        <w:ind w:firstLine="440" w:firstLineChars="200"/>
        <w:rPr>
          <w:rFonts w:hint="eastAsia" w:ascii="宋体"/>
          <w:szCs w:val="21"/>
        </w:rPr>
      </w:pPr>
      <w:r>
        <w:rPr>
          <w:rFonts w:hint="eastAsia" w:ascii="宋体"/>
          <w:kern w:val="10"/>
          <w:szCs w:val="21"/>
        </w:rPr>
        <w:t>(2)</w:t>
      </w:r>
      <w:r>
        <w:rPr>
          <w:rFonts w:hint="eastAsia" w:ascii="宋体"/>
          <w:szCs w:val="21"/>
        </w:rPr>
        <w:t>出现影响采购公正的违法、违规行为的；</w:t>
      </w:r>
    </w:p>
    <w:p>
      <w:pPr>
        <w:spacing w:line="440" w:lineRule="exact"/>
        <w:ind w:firstLine="440" w:firstLineChars="200"/>
        <w:rPr>
          <w:rFonts w:hint="eastAsia" w:ascii="宋体"/>
          <w:szCs w:val="21"/>
        </w:rPr>
      </w:pPr>
      <w:r>
        <w:rPr>
          <w:rFonts w:hint="eastAsia" w:ascii="宋体"/>
          <w:kern w:val="10"/>
          <w:szCs w:val="21"/>
        </w:rPr>
        <w:t>(3)</w:t>
      </w:r>
      <w:r>
        <w:rPr>
          <w:rFonts w:hint="eastAsia" w:ascii="宋体"/>
          <w:szCs w:val="21"/>
        </w:rPr>
        <w:t>投标人的报价均脱离实际且无充分证据的；</w:t>
      </w:r>
    </w:p>
    <w:p>
      <w:pPr>
        <w:spacing w:line="440" w:lineRule="exact"/>
        <w:ind w:firstLine="440" w:firstLineChars="200"/>
        <w:rPr>
          <w:rFonts w:hint="eastAsia" w:ascii="宋体"/>
          <w:szCs w:val="21"/>
        </w:rPr>
      </w:pPr>
      <w:r>
        <w:rPr>
          <w:rFonts w:hint="eastAsia" w:ascii="宋体"/>
          <w:kern w:val="10"/>
          <w:szCs w:val="21"/>
        </w:rPr>
        <w:t>(4)</w:t>
      </w:r>
      <w:r>
        <w:rPr>
          <w:rFonts w:hint="eastAsia" w:ascii="宋体"/>
          <w:szCs w:val="21"/>
        </w:rPr>
        <w:t>因重大变故，采购任务取消的。</w:t>
      </w:r>
    </w:p>
    <w:p>
      <w:pPr>
        <w:spacing w:before="156" w:beforeLines="50" w:line="440" w:lineRule="exact"/>
        <w:jc w:val="center"/>
        <w:outlineLvl w:val="2"/>
        <w:rPr>
          <w:rFonts w:hint="eastAsia" w:ascii="黑体" w:eastAsia="黑体"/>
          <w:sz w:val="24"/>
        </w:rPr>
      </w:pPr>
      <w:bookmarkStart w:id="26" w:name="_Toc469495729"/>
      <w:r>
        <w:rPr>
          <w:rFonts w:hint="eastAsia" w:ascii="黑体" w:eastAsia="黑体"/>
          <w:sz w:val="28"/>
          <w:szCs w:val="28"/>
        </w:rPr>
        <w:t>（六）合同的授予</w:t>
      </w:r>
      <w:bookmarkEnd w:id="26"/>
    </w:p>
    <w:p>
      <w:pPr>
        <w:spacing w:line="440" w:lineRule="exact"/>
        <w:ind w:firstLine="546" w:firstLineChars="247"/>
        <w:jc w:val="left"/>
        <w:rPr>
          <w:rFonts w:hint="eastAsia" w:ascii="宋体"/>
          <w:b/>
          <w:szCs w:val="21"/>
        </w:rPr>
      </w:pPr>
      <w:r>
        <w:rPr>
          <w:rFonts w:hint="eastAsia" w:ascii="宋体"/>
          <w:b/>
          <w:szCs w:val="21"/>
        </w:rPr>
        <w:t>34. 合同授予标准</w:t>
      </w:r>
    </w:p>
    <w:p>
      <w:pPr>
        <w:spacing w:line="440" w:lineRule="exact"/>
        <w:ind w:firstLine="550" w:firstLineChars="250"/>
        <w:jc w:val="left"/>
        <w:rPr>
          <w:rFonts w:hint="eastAsia" w:ascii="宋体"/>
          <w:szCs w:val="21"/>
        </w:rPr>
      </w:pPr>
      <w:r>
        <w:rPr>
          <w:rFonts w:hint="eastAsia" w:ascii="宋体"/>
          <w:szCs w:val="21"/>
        </w:rPr>
        <w:t>34.1  本招标项目的合同将授予按本投标须知第32条规定所确定的中标人。</w:t>
      </w:r>
    </w:p>
    <w:p>
      <w:pPr>
        <w:spacing w:line="440" w:lineRule="exact"/>
        <w:ind w:firstLine="546" w:firstLineChars="247"/>
        <w:jc w:val="left"/>
        <w:rPr>
          <w:rFonts w:hint="eastAsia" w:ascii="宋体"/>
          <w:b/>
          <w:szCs w:val="21"/>
        </w:rPr>
      </w:pPr>
      <w:r>
        <w:rPr>
          <w:rFonts w:hint="eastAsia" w:ascii="宋体"/>
          <w:b/>
          <w:szCs w:val="21"/>
        </w:rPr>
        <w:t>35. 合同协议书的签订</w:t>
      </w:r>
    </w:p>
    <w:p>
      <w:pPr>
        <w:spacing w:line="440" w:lineRule="exact"/>
        <w:ind w:firstLine="520" w:firstLineChars="250"/>
        <w:jc w:val="left"/>
        <w:rPr>
          <w:rFonts w:hint="eastAsia" w:ascii="宋体"/>
          <w:spacing w:val="-6"/>
          <w:szCs w:val="21"/>
        </w:rPr>
      </w:pPr>
      <w:r>
        <w:rPr>
          <w:rFonts w:hint="eastAsia" w:ascii="宋体"/>
          <w:spacing w:val="-6"/>
          <w:szCs w:val="21"/>
        </w:rPr>
        <w:t>35.1招标人与中标人将于中标通知书发出之日起7日内，按照交易文件和中标人的投标文件订立书面采购合同。招标人和中标人不得再行订立背离合同实质性内容的其他协议。</w:t>
      </w:r>
    </w:p>
    <w:p>
      <w:pPr>
        <w:spacing w:line="440" w:lineRule="exact"/>
        <w:ind w:firstLine="550" w:firstLineChars="250"/>
        <w:jc w:val="left"/>
        <w:rPr>
          <w:rFonts w:hint="eastAsia" w:ascii="宋体"/>
          <w:szCs w:val="21"/>
        </w:rPr>
      </w:pPr>
      <w:r>
        <w:rPr>
          <w:rFonts w:hint="eastAsia" w:ascii="宋体"/>
          <w:szCs w:val="21"/>
        </w:rPr>
        <w:t>35.2 招标人如不按本投标须知第32条的规定与中标人订立合同，或者招标人、中标人订立背离合同实质性内容的协议，招标人应当按投标保证金的数额对投标人进行赔偿，给投标人造成的损失超过投标保证金数额的，还应当对超过部分予以赔偿，同时依法承担相应法律责任。</w:t>
      </w:r>
    </w:p>
    <w:p>
      <w:pPr>
        <w:spacing w:line="440" w:lineRule="exact"/>
        <w:ind w:firstLine="550" w:firstLineChars="250"/>
        <w:jc w:val="left"/>
        <w:rPr>
          <w:rFonts w:hint="eastAsia" w:ascii="宋体"/>
          <w:szCs w:val="21"/>
        </w:rPr>
      </w:pPr>
      <w:r>
        <w:rPr>
          <w:rFonts w:hint="eastAsia" w:ascii="宋体"/>
          <w:szCs w:val="21"/>
        </w:rPr>
        <w:t>35.3中标人如不按本投标须知第32条的规定与招标人订立合同，则招标人将废除授标，投标担保金不予退还，给招标人造成的损失超过投标担保数额的，还应当对超过部分予以赔偿，同时依法承担相应法律责任。</w:t>
      </w:r>
    </w:p>
    <w:p>
      <w:pPr>
        <w:spacing w:line="440" w:lineRule="exact"/>
        <w:ind w:firstLine="440" w:firstLineChars="200"/>
        <w:jc w:val="left"/>
        <w:rPr>
          <w:rFonts w:hint="eastAsia" w:ascii="宋体"/>
          <w:szCs w:val="21"/>
        </w:rPr>
      </w:pPr>
      <w:r>
        <w:rPr>
          <w:rFonts w:hint="eastAsia" w:ascii="宋体"/>
          <w:szCs w:val="21"/>
        </w:rPr>
        <w:t>35.4中标人应当按照合同约定履行义务，完成中标项目，不得将中标项目转让（转包）给他人。</w:t>
      </w:r>
    </w:p>
    <w:p>
      <w:pPr>
        <w:spacing w:line="440" w:lineRule="exact"/>
        <w:rPr>
          <w:rFonts w:hint="eastAsia" w:ascii="宋体" w:eastAsia="宋体"/>
          <w:b/>
          <w:color w:val="FF0000"/>
          <w:szCs w:val="21"/>
          <w:highlight w:val="yellow"/>
          <w:lang w:eastAsia="zh-CN"/>
        </w:rPr>
      </w:pPr>
      <w:r>
        <w:rPr>
          <w:rFonts w:hint="eastAsia" w:ascii="宋体"/>
          <w:szCs w:val="21"/>
        </w:rPr>
        <w:t xml:space="preserve">    36.</w:t>
      </w:r>
      <w:bookmarkStart w:id="27" w:name="_Toc217446068"/>
      <w:r>
        <w:rPr>
          <w:rFonts w:hint="eastAsia" w:ascii="宋体"/>
          <w:szCs w:val="21"/>
        </w:rPr>
        <w:t xml:space="preserve"> </w:t>
      </w:r>
      <w:r>
        <w:rPr>
          <w:rFonts w:hint="eastAsia" w:ascii="宋体"/>
          <w:b w:val="0"/>
          <w:bCs/>
          <w:szCs w:val="21"/>
          <w:highlight w:val="none"/>
        </w:rPr>
        <w:t>履约保证金</w:t>
      </w:r>
      <w:bookmarkEnd w:id="27"/>
    </w:p>
    <w:p>
      <w:pPr>
        <w:spacing w:line="440" w:lineRule="exact"/>
        <w:ind w:firstLine="440" w:firstLineChars="200"/>
        <w:rPr>
          <w:rFonts w:hint="eastAsia" w:ascii="宋体"/>
          <w:szCs w:val="21"/>
        </w:rPr>
      </w:pPr>
      <w:r>
        <w:rPr>
          <w:rFonts w:hint="eastAsia" w:ascii="宋体"/>
          <w:szCs w:val="21"/>
        </w:rPr>
        <w:t>36.1在签订合同前，中标人应按投标人须知前附表规定的担保形式、金额和交易文件第</w:t>
      </w:r>
      <w:r>
        <w:rPr>
          <w:rFonts w:hint="eastAsia" w:ascii="宋体"/>
          <w:szCs w:val="21"/>
          <w:lang w:eastAsia="zh-CN"/>
        </w:rPr>
        <w:t>六</w:t>
      </w:r>
      <w:r>
        <w:rPr>
          <w:rFonts w:hint="eastAsia" w:ascii="宋体"/>
          <w:szCs w:val="21"/>
        </w:rPr>
        <w:t>章“合同条款及格式”规定的或者事先经过招标人书面认可的履约担保格式向招标人提交履约担保。</w:t>
      </w:r>
    </w:p>
    <w:p>
      <w:pPr>
        <w:spacing w:line="400" w:lineRule="exact"/>
        <w:ind w:firstLine="440" w:firstLineChars="200"/>
        <w:rPr>
          <w:rFonts w:hint="eastAsia" w:ascii="黑体" w:eastAsia="黑体"/>
          <w:sz w:val="28"/>
          <w:szCs w:val="28"/>
        </w:rPr>
      </w:pPr>
      <w:r>
        <w:rPr>
          <w:rFonts w:hint="eastAsia" w:ascii="宋体"/>
          <w:szCs w:val="21"/>
        </w:rPr>
        <w:t>36.2 中标人不能按本章第36.1项要求提交履约担保的，视为放弃中标，其投标保证金不予退还，给招标人造成的损失超过投标保证金数额的，中标人还应当对超过部分予以赔偿。</w:t>
      </w:r>
    </w:p>
    <w:p>
      <w:pPr>
        <w:adjustRightInd w:val="0"/>
        <w:snapToGrid w:val="0"/>
        <w:spacing w:line="440" w:lineRule="exact"/>
        <w:jc w:val="center"/>
        <w:outlineLvl w:val="2"/>
        <w:rPr>
          <w:rFonts w:hint="eastAsia" w:ascii="黑体" w:eastAsia="黑体"/>
          <w:sz w:val="28"/>
          <w:szCs w:val="28"/>
        </w:rPr>
      </w:pPr>
      <w:bookmarkStart w:id="28" w:name="_Toc469495730"/>
      <w:r>
        <w:rPr>
          <w:rFonts w:hint="eastAsia" w:ascii="黑体" w:eastAsia="黑体"/>
          <w:sz w:val="28"/>
          <w:szCs w:val="28"/>
        </w:rPr>
        <w:t>（七）纪律和监督</w:t>
      </w:r>
      <w:bookmarkEnd w:id="28"/>
    </w:p>
    <w:p>
      <w:pPr>
        <w:spacing w:line="440" w:lineRule="exact"/>
        <w:ind w:firstLine="325" w:firstLineChars="147"/>
        <w:jc w:val="left"/>
        <w:rPr>
          <w:rFonts w:hint="eastAsia" w:ascii="宋体"/>
          <w:b/>
          <w:szCs w:val="21"/>
        </w:rPr>
      </w:pPr>
      <w:r>
        <w:rPr>
          <w:rFonts w:hint="eastAsia" w:ascii="宋体"/>
          <w:b/>
          <w:szCs w:val="21"/>
        </w:rPr>
        <w:t xml:space="preserve">37. 对招标人的纪律要求 </w:t>
      </w:r>
    </w:p>
    <w:p>
      <w:pPr>
        <w:adjustRightInd w:val="0"/>
        <w:snapToGrid w:val="0"/>
        <w:spacing w:line="440" w:lineRule="exact"/>
        <w:ind w:firstLine="330" w:firstLineChars="150"/>
        <w:rPr>
          <w:rFonts w:hint="eastAsia" w:ascii="宋体"/>
          <w:kern w:val="10"/>
          <w:szCs w:val="21"/>
        </w:rPr>
      </w:pPr>
      <w:r>
        <w:rPr>
          <w:rFonts w:hint="eastAsia" w:ascii="宋体"/>
          <w:kern w:val="10"/>
          <w:szCs w:val="21"/>
        </w:rPr>
        <w:t xml:space="preserve">37.1招标人不得泄漏招标投标活动中应当保密的情况和资料，不得与投标人串通损害国家利益，社会公共利益或者他人合法权益。 </w:t>
      </w:r>
    </w:p>
    <w:p>
      <w:pPr>
        <w:spacing w:line="440" w:lineRule="exact"/>
        <w:ind w:firstLine="325" w:firstLineChars="147"/>
        <w:jc w:val="left"/>
        <w:rPr>
          <w:rFonts w:hint="eastAsia" w:ascii="宋体"/>
          <w:b/>
          <w:szCs w:val="21"/>
        </w:rPr>
      </w:pPr>
      <w:r>
        <w:rPr>
          <w:rFonts w:hint="eastAsia" w:ascii="宋体"/>
          <w:b/>
          <w:szCs w:val="21"/>
        </w:rPr>
        <w:t xml:space="preserve">38. 对投标人的纪律要求 </w:t>
      </w:r>
    </w:p>
    <w:p>
      <w:pPr>
        <w:adjustRightInd w:val="0"/>
        <w:snapToGrid w:val="0"/>
        <w:spacing w:line="440" w:lineRule="exact"/>
        <w:ind w:firstLine="330" w:firstLineChars="150"/>
        <w:rPr>
          <w:rFonts w:hint="eastAsia" w:ascii="宋体"/>
          <w:kern w:val="10"/>
          <w:szCs w:val="21"/>
        </w:rPr>
      </w:pPr>
      <w:r>
        <w:rPr>
          <w:rFonts w:hint="eastAsia" w:ascii="宋体"/>
          <w:kern w:val="10"/>
          <w:szCs w:val="21"/>
        </w:rPr>
        <w:t>38.1投标人不得相互串通投标或者与招标人串通投标，不得向招标人或者</w:t>
      </w:r>
      <w:r>
        <w:rPr>
          <w:rFonts w:hint="eastAsia"/>
          <w:kern w:val="10"/>
          <w:szCs w:val="21"/>
          <w:lang w:eastAsia="zh-CN"/>
        </w:rPr>
        <w:t>评标小组</w:t>
      </w:r>
      <w:r>
        <w:rPr>
          <w:rFonts w:hint="eastAsia" w:ascii="宋体"/>
          <w:kern w:val="10"/>
          <w:szCs w:val="21"/>
        </w:rPr>
        <w:t>成员行贿谋取中标，不得以他人名义投标或者以其他方式弄虚作假骗取中标；投标人不得以任何方式干扰、影响评标工作。</w:t>
      </w:r>
    </w:p>
    <w:p>
      <w:pPr>
        <w:spacing w:line="440" w:lineRule="exact"/>
        <w:ind w:firstLine="325" w:firstLineChars="147"/>
        <w:jc w:val="left"/>
        <w:rPr>
          <w:rFonts w:hint="eastAsia" w:ascii="宋体"/>
          <w:b/>
          <w:szCs w:val="21"/>
        </w:rPr>
      </w:pPr>
      <w:r>
        <w:rPr>
          <w:rFonts w:hint="eastAsia" w:ascii="宋体"/>
          <w:b/>
          <w:szCs w:val="21"/>
        </w:rPr>
        <w:t>39. 对</w:t>
      </w:r>
      <w:r>
        <w:rPr>
          <w:rFonts w:hint="eastAsia"/>
          <w:b/>
          <w:szCs w:val="21"/>
          <w:lang w:eastAsia="zh-CN"/>
        </w:rPr>
        <w:t>评标小组</w:t>
      </w:r>
      <w:r>
        <w:rPr>
          <w:rFonts w:hint="eastAsia" w:ascii="宋体"/>
          <w:b/>
          <w:szCs w:val="21"/>
        </w:rPr>
        <w:t xml:space="preserve">成员的纪律要求 </w:t>
      </w:r>
    </w:p>
    <w:p>
      <w:pPr>
        <w:adjustRightInd w:val="0"/>
        <w:snapToGrid w:val="0"/>
        <w:spacing w:line="440" w:lineRule="exact"/>
        <w:ind w:firstLine="330" w:firstLineChars="150"/>
        <w:rPr>
          <w:rFonts w:hint="eastAsia" w:ascii="宋体"/>
          <w:kern w:val="10"/>
          <w:szCs w:val="21"/>
        </w:rPr>
      </w:pPr>
      <w:r>
        <w:rPr>
          <w:rFonts w:hint="eastAsia" w:ascii="宋体"/>
          <w:kern w:val="10"/>
          <w:szCs w:val="21"/>
        </w:rPr>
        <w:t>39.1</w:t>
      </w:r>
      <w:r>
        <w:rPr>
          <w:rFonts w:hint="eastAsia"/>
          <w:kern w:val="10"/>
          <w:szCs w:val="21"/>
          <w:lang w:eastAsia="zh-CN"/>
        </w:rPr>
        <w:t>评标小组</w:t>
      </w:r>
      <w:r>
        <w:rPr>
          <w:rFonts w:hint="eastAsia" w:ascii="宋体"/>
          <w:kern w:val="10"/>
          <w:szCs w:val="21"/>
        </w:rPr>
        <w:t>成员不得收受他人的财物或者其他好处，不得向他人透漏对投标文件的评审和比较、中标候选人的推荐情况以及评标有关的其他情况。</w:t>
      </w:r>
    </w:p>
    <w:p>
      <w:pPr>
        <w:adjustRightInd w:val="0"/>
        <w:snapToGrid w:val="0"/>
        <w:spacing w:line="440" w:lineRule="exact"/>
        <w:ind w:firstLine="330" w:firstLineChars="150"/>
        <w:rPr>
          <w:rFonts w:hint="eastAsia" w:ascii="宋体"/>
          <w:kern w:val="10"/>
          <w:szCs w:val="21"/>
        </w:rPr>
      </w:pPr>
      <w:r>
        <w:rPr>
          <w:rFonts w:hint="eastAsia" w:ascii="宋体"/>
          <w:kern w:val="10"/>
          <w:szCs w:val="21"/>
        </w:rPr>
        <w:t>39.2在评标活动中，</w:t>
      </w:r>
      <w:r>
        <w:rPr>
          <w:rFonts w:hint="eastAsia"/>
          <w:kern w:val="10"/>
          <w:szCs w:val="21"/>
          <w:lang w:eastAsia="zh-CN"/>
        </w:rPr>
        <w:t>评标小组</w:t>
      </w:r>
      <w:r>
        <w:rPr>
          <w:rFonts w:hint="eastAsia" w:ascii="宋体"/>
          <w:kern w:val="10"/>
          <w:szCs w:val="21"/>
        </w:rPr>
        <w:t xml:space="preserve">成员不得擅离职守，影响评标程序正常进行，不得使用第三章“评标办法”没有规定的评审因素和标准进行评标。 </w:t>
      </w:r>
    </w:p>
    <w:p>
      <w:pPr>
        <w:spacing w:line="440" w:lineRule="exact"/>
        <w:ind w:firstLine="325" w:firstLineChars="147"/>
        <w:jc w:val="left"/>
        <w:rPr>
          <w:rFonts w:hint="eastAsia" w:ascii="宋体"/>
          <w:b/>
          <w:szCs w:val="21"/>
        </w:rPr>
      </w:pPr>
      <w:r>
        <w:rPr>
          <w:rFonts w:hint="eastAsia" w:ascii="宋体"/>
          <w:b/>
          <w:szCs w:val="21"/>
        </w:rPr>
        <w:t xml:space="preserve">40. 对与评标活动有关的工作人员的纪律要求 </w:t>
      </w:r>
    </w:p>
    <w:p>
      <w:pPr>
        <w:adjustRightInd w:val="0"/>
        <w:snapToGrid w:val="0"/>
        <w:spacing w:line="440" w:lineRule="exact"/>
        <w:ind w:firstLine="330" w:firstLineChars="150"/>
        <w:rPr>
          <w:rFonts w:hint="eastAsia" w:ascii="宋体"/>
          <w:kern w:val="10"/>
          <w:szCs w:val="21"/>
        </w:rPr>
      </w:pPr>
      <w:r>
        <w:rPr>
          <w:rFonts w:hint="eastAsia" w:ascii="宋体"/>
          <w:kern w:val="10"/>
          <w:szCs w:val="21"/>
        </w:rPr>
        <w:t>40.1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before="156" w:beforeLines="50" w:after="156" w:afterLines="50" w:line="500" w:lineRule="exact"/>
        <w:ind w:firstLine="840" w:firstLineChars="300"/>
        <w:jc w:val="center"/>
        <w:rPr>
          <w:rFonts w:hint="eastAsia" w:ascii="黑体" w:hAnsi="宋体" w:eastAsia="黑体"/>
          <w:sz w:val="28"/>
          <w:szCs w:val="28"/>
        </w:rPr>
      </w:pPr>
      <w:r>
        <w:rPr>
          <w:rFonts w:hint="eastAsia" w:ascii="黑体" w:eastAsia="黑体"/>
          <w:sz w:val="28"/>
          <w:szCs w:val="28"/>
        </w:rPr>
        <w:t>（八）</w:t>
      </w:r>
      <w:r>
        <w:rPr>
          <w:rFonts w:hint="eastAsia" w:ascii="黑体" w:hAnsi="宋体" w:eastAsia="黑体"/>
          <w:sz w:val="28"/>
          <w:szCs w:val="28"/>
        </w:rPr>
        <w:t>质疑与投诉、诚实信用</w:t>
      </w:r>
    </w:p>
    <w:p>
      <w:pPr>
        <w:spacing w:line="380" w:lineRule="exact"/>
        <w:ind w:firstLine="329" w:firstLineChars="149"/>
        <w:jc w:val="both"/>
        <w:rPr>
          <w:rFonts w:hint="eastAsia" w:ascii="宋体" w:hAnsi="宋体"/>
          <w:b/>
          <w:szCs w:val="21"/>
        </w:rPr>
      </w:pPr>
      <w:r>
        <w:rPr>
          <w:rFonts w:hint="eastAsia" w:ascii="宋体" w:hAnsi="宋体"/>
          <w:b/>
          <w:szCs w:val="21"/>
        </w:rPr>
        <w:t>41. 询问、质疑</w:t>
      </w:r>
    </w:p>
    <w:p>
      <w:pPr>
        <w:spacing w:line="400" w:lineRule="exact"/>
        <w:ind w:firstLine="330" w:firstLineChars="150"/>
        <w:jc w:val="both"/>
        <w:rPr>
          <w:rFonts w:ascii="宋体" w:hAnsi="宋体"/>
          <w:szCs w:val="21"/>
        </w:rPr>
      </w:pPr>
      <w:r>
        <w:rPr>
          <w:rFonts w:hint="eastAsia" w:ascii="宋体" w:hAnsi="宋体"/>
          <w:szCs w:val="21"/>
        </w:rPr>
        <w:t>41</w:t>
      </w:r>
      <w:r>
        <w:rPr>
          <w:rFonts w:ascii="宋体" w:hAnsi="宋体"/>
          <w:szCs w:val="21"/>
        </w:rPr>
        <w:t>.1</w:t>
      </w:r>
      <w:r>
        <w:rPr>
          <w:rFonts w:hint="eastAsia" w:ascii="宋体" w:hAnsi="宋体"/>
          <w:szCs w:val="21"/>
        </w:rPr>
        <w:t xml:space="preserve"> 投标人对招标活动事项有疑问的，可以向招标人提出询问，招标人将在三个工作日内作出答复，但答复的内容不涉及商业秘密。</w:t>
      </w:r>
    </w:p>
    <w:p>
      <w:pPr>
        <w:spacing w:line="400" w:lineRule="exact"/>
        <w:ind w:firstLine="330" w:firstLineChars="150"/>
        <w:jc w:val="both"/>
        <w:rPr>
          <w:rFonts w:hint="eastAsia" w:ascii="宋体" w:hAnsi="宋体"/>
          <w:szCs w:val="21"/>
        </w:rPr>
      </w:pPr>
      <w:r>
        <w:rPr>
          <w:rFonts w:hint="eastAsia" w:ascii="宋体" w:hAnsi="宋体"/>
          <w:szCs w:val="21"/>
        </w:rPr>
        <w:t>41.2 投标人认为采购文件、采购过程和中标结果使自己的合法权益受到损害的，可以在知道或者应当知道其权益受到损害之日起七个工作日内，以书面形式将质疑文件原件送达招标人。</w:t>
      </w:r>
    </w:p>
    <w:p>
      <w:pPr>
        <w:spacing w:line="400" w:lineRule="exact"/>
        <w:ind w:firstLine="330" w:firstLineChars="150"/>
        <w:jc w:val="both"/>
        <w:rPr>
          <w:rFonts w:hint="eastAsia" w:ascii="宋体"/>
          <w:kern w:val="10"/>
          <w:szCs w:val="21"/>
        </w:rPr>
      </w:pPr>
      <w:r>
        <w:rPr>
          <w:rFonts w:hint="eastAsia" w:ascii="宋体"/>
          <w:kern w:val="10"/>
          <w:szCs w:val="21"/>
        </w:rPr>
        <w:t>41.3</w:t>
      </w:r>
      <w:r>
        <w:rPr>
          <w:rFonts w:ascii="宋体"/>
          <w:kern w:val="10"/>
          <w:szCs w:val="21"/>
        </w:rPr>
        <w:t>中标公告</w:t>
      </w:r>
      <w:r>
        <w:rPr>
          <w:rFonts w:hint="eastAsia" w:ascii="宋体"/>
          <w:kern w:val="10"/>
          <w:szCs w:val="21"/>
        </w:rPr>
        <w:t>发</w:t>
      </w:r>
      <w:r>
        <w:rPr>
          <w:rFonts w:ascii="宋体"/>
          <w:kern w:val="10"/>
          <w:szCs w:val="21"/>
        </w:rPr>
        <w:t>布后，参与投标的投标人对中标公告有异议的，应该在中标公告</w:t>
      </w:r>
      <w:r>
        <w:rPr>
          <w:rFonts w:hint="eastAsia" w:ascii="宋体"/>
          <w:kern w:val="10"/>
          <w:szCs w:val="21"/>
        </w:rPr>
        <w:t>发布之日起或公告期限届满</w:t>
      </w:r>
      <w:r>
        <w:rPr>
          <w:rFonts w:ascii="宋体"/>
          <w:kern w:val="10"/>
          <w:szCs w:val="21"/>
        </w:rPr>
        <w:t>之日起七个工作日内向招标人书面提出质疑。但属于第</w:t>
      </w:r>
      <w:r>
        <w:rPr>
          <w:rFonts w:hint="eastAsia" w:ascii="宋体"/>
          <w:kern w:val="10"/>
          <w:szCs w:val="21"/>
        </w:rPr>
        <w:t>41</w:t>
      </w:r>
      <w:r>
        <w:rPr>
          <w:rFonts w:ascii="宋体"/>
          <w:kern w:val="10"/>
          <w:szCs w:val="21"/>
        </w:rPr>
        <w:t>.1</w:t>
      </w:r>
      <w:r>
        <w:rPr>
          <w:rFonts w:hint="eastAsia" w:ascii="宋体"/>
          <w:kern w:val="10"/>
          <w:szCs w:val="21"/>
        </w:rPr>
        <w:t>条</w:t>
      </w:r>
      <w:r>
        <w:rPr>
          <w:rFonts w:ascii="宋体"/>
          <w:kern w:val="10"/>
          <w:szCs w:val="21"/>
        </w:rPr>
        <w:t>问题，且未在规定时间提出质疑的，</w:t>
      </w:r>
      <w:r>
        <w:rPr>
          <w:rFonts w:hint="eastAsia" w:ascii="宋体"/>
          <w:kern w:val="10"/>
          <w:szCs w:val="21"/>
        </w:rPr>
        <w:t>不予受理</w:t>
      </w:r>
      <w:r>
        <w:rPr>
          <w:rFonts w:ascii="宋体"/>
          <w:kern w:val="10"/>
          <w:szCs w:val="21"/>
        </w:rPr>
        <w:t>。</w:t>
      </w:r>
    </w:p>
    <w:p>
      <w:pPr>
        <w:spacing w:line="400" w:lineRule="exact"/>
        <w:ind w:firstLine="330" w:firstLineChars="150"/>
        <w:jc w:val="both"/>
        <w:rPr>
          <w:rFonts w:hint="eastAsia" w:ascii="宋体"/>
          <w:kern w:val="10"/>
          <w:szCs w:val="21"/>
        </w:rPr>
      </w:pPr>
      <w:r>
        <w:rPr>
          <w:rFonts w:hint="eastAsia" w:ascii="宋体"/>
          <w:kern w:val="10"/>
          <w:szCs w:val="21"/>
        </w:rPr>
        <w:t>41.4参与投标的投标人对中标公告提出的书面质疑，负有举证的责任。在质疑函中应清楚地写明所质疑的项目名称、质疑的事项与事实等内容，并附上质疑事项、事实的证明文件。投标人在经其法定代表人签字并盖上投标人公章后，将该质疑函递交至招标人或代理机构。</w:t>
      </w:r>
    </w:p>
    <w:p>
      <w:pPr>
        <w:spacing w:line="400" w:lineRule="exact"/>
        <w:ind w:firstLine="330" w:firstLineChars="150"/>
        <w:jc w:val="both"/>
        <w:rPr>
          <w:rFonts w:hint="eastAsia" w:ascii="宋体"/>
          <w:kern w:val="10"/>
          <w:szCs w:val="21"/>
        </w:rPr>
      </w:pPr>
      <w:r>
        <w:rPr>
          <w:rFonts w:hint="eastAsia" w:ascii="宋体"/>
          <w:kern w:val="10"/>
          <w:szCs w:val="21"/>
        </w:rPr>
        <w:t>41.5招标人或代理机构在收到投标人的质疑函后，将审查质疑函的格式、内容以及所附的证明文件是否符合要求。如不符合，说明原因退回投标人；如符合要求，则接受该质疑函并向投标人出具受理证明。</w:t>
      </w:r>
    </w:p>
    <w:p>
      <w:pPr>
        <w:spacing w:line="400" w:lineRule="exact"/>
        <w:ind w:firstLine="330" w:firstLineChars="150"/>
        <w:jc w:val="both"/>
        <w:rPr>
          <w:rFonts w:hint="eastAsia" w:ascii="宋体"/>
          <w:kern w:val="10"/>
          <w:szCs w:val="21"/>
        </w:rPr>
      </w:pPr>
      <w:r>
        <w:rPr>
          <w:rFonts w:hint="eastAsia" w:ascii="宋体"/>
          <w:kern w:val="10"/>
          <w:szCs w:val="21"/>
        </w:rPr>
        <w:t>41.6处理质疑的时间，从实际接受投标人质疑函、出具受理证明的时间开始计算。</w:t>
      </w:r>
    </w:p>
    <w:p>
      <w:pPr>
        <w:pStyle w:val="10"/>
        <w:spacing w:before="145" w:line="367" w:lineRule="auto"/>
        <w:ind w:left="106"/>
        <w:rPr>
          <w:rFonts w:hint="eastAsia"/>
          <w:lang w:val="en-US" w:eastAsia="zh-CN"/>
        </w:rPr>
        <w:sectPr>
          <w:headerReference r:id="rId6" w:type="default"/>
          <w:footerReference r:id="rId7" w:type="default"/>
          <w:pgSz w:w="11906" w:h="16838"/>
          <w:pgMar w:top="1440" w:right="1800" w:bottom="1440" w:left="1800" w:header="851" w:footer="992" w:gutter="0"/>
          <w:pgNumType w:fmt="decimal"/>
          <w:cols w:space="720" w:num="1"/>
          <w:docGrid w:type="lines" w:linePitch="312" w:charSpace="0"/>
        </w:sectPr>
      </w:pPr>
      <w:bookmarkStart w:id="29" w:name="第二章  评标办法"/>
      <w:bookmarkEnd w:id="29"/>
    </w:p>
    <w:p>
      <w:pPr>
        <w:pStyle w:val="3"/>
        <w:bidi w:val="0"/>
      </w:pPr>
      <w:bookmarkStart w:id="30" w:name="_Toc26303"/>
      <w:r>
        <w:rPr>
          <w:rFonts w:hint="eastAsia"/>
          <w:lang w:val="en-US" w:eastAsia="zh-CN"/>
        </w:rPr>
        <w:t>第三章、</w:t>
      </w:r>
      <w:r>
        <w:t>评标办法</w:t>
      </w:r>
      <w:bookmarkEnd w:id="30"/>
      <w:r>
        <w:rPr>
          <w:w w:val="100"/>
        </w:rPr>
        <w:t xml:space="preserve"> </w:t>
      </w:r>
    </w:p>
    <w:p>
      <w:pPr>
        <w:pStyle w:val="2"/>
        <w:bidi w:val="0"/>
        <w:rPr>
          <w:rFonts w:hint="eastAsia"/>
        </w:rPr>
      </w:pPr>
      <w:bookmarkStart w:id="31" w:name="1．总则"/>
      <w:bookmarkEnd w:id="31"/>
      <w:bookmarkStart w:id="32" w:name="_Toc469495732"/>
      <w:bookmarkStart w:id="33" w:name="_Toc362983801"/>
      <w:bookmarkStart w:id="34" w:name="_Toc267320058"/>
      <w:r>
        <w:rPr>
          <w:rFonts w:hint="eastAsia"/>
        </w:rPr>
        <w:t>一  总则</w:t>
      </w:r>
      <w:bookmarkEnd w:id="32"/>
      <w:bookmarkEnd w:id="33"/>
    </w:p>
    <w:p>
      <w:pPr>
        <w:pStyle w:val="4"/>
        <w:bidi w:val="0"/>
        <w:rPr>
          <w:rFonts w:hint="default" w:eastAsia="宋体"/>
          <w:lang w:val="en-US" w:eastAsia="zh-CN"/>
        </w:rPr>
      </w:pPr>
      <w:r>
        <w:rPr>
          <w:rFonts w:hint="eastAsia"/>
        </w:rPr>
        <w:t xml:space="preserve"> 1. 本次评标采用</w:t>
      </w:r>
      <w:r>
        <w:rPr>
          <w:rFonts w:hint="eastAsia"/>
          <w:lang w:val="en-US" w:eastAsia="zh-CN"/>
        </w:rPr>
        <w:t>合理低价法（费率）</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b/>
          <w:bCs/>
        </w:rPr>
      </w:pPr>
      <w:r>
        <w:rPr>
          <w:rFonts w:hint="eastAsia"/>
        </w:rPr>
        <w:t xml:space="preserve">  本次评标采用经评审的合理低价法（费率）。评标小组对投标人进行资格审查评审，对于资格审查评审合格的投标人，最终按投标报价最低原则，推荐投标报价最低（费率）的为第一中标候选人</w:t>
      </w:r>
      <w:r>
        <w:rPr>
          <w:rFonts w:hint="eastAsia"/>
          <w:b/>
          <w:bCs/>
        </w:rPr>
        <w:t>（备注：低于所有报价人平均报价10%的定点企业不予选择，按照次低价确定中签候选人，投标报价次低价的投标人有两名或两名以上相同时，由招标人或评标小组主任委员抽签确定第一中标候选人）</w:t>
      </w:r>
      <w:r>
        <w:rPr>
          <w:rFonts w:hint="eastAsia"/>
          <w:b/>
          <w:bCs/>
          <w:lang w:eastAsia="zh-CN"/>
        </w:rPr>
        <w:t>。</w:t>
      </w:r>
    </w:p>
    <w:p>
      <w:pPr>
        <w:pStyle w:val="4"/>
        <w:bidi w:val="0"/>
        <w:rPr>
          <w:rFonts w:hint="eastAsia"/>
        </w:rPr>
      </w:pPr>
      <w:r>
        <w:rPr>
          <w:rFonts w:hint="eastAsia"/>
        </w:rPr>
        <w:t>2.投标文件的澄清</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jc w:val="both"/>
        <w:textAlignment w:val="auto"/>
        <w:rPr>
          <w:rFonts w:hint="eastAsia" w:ascii="宋体"/>
          <w:szCs w:val="21"/>
        </w:rPr>
      </w:pPr>
      <w:r>
        <w:rPr>
          <w:rFonts w:hint="eastAsia" w:ascii="宋体"/>
          <w:szCs w:val="21"/>
        </w:rPr>
        <w:t>2.1在评标过程中，</w:t>
      </w:r>
      <w:r>
        <w:rPr>
          <w:rFonts w:hint="eastAsia"/>
          <w:szCs w:val="21"/>
          <w:lang w:eastAsia="zh-CN"/>
        </w:rPr>
        <w:t>评标小组</w:t>
      </w:r>
      <w:r>
        <w:rPr>
          <w:rFonts w:hint="eastAsia" w:ascii="宋体"/>
          <w:szCs w:val="21"/>
        </w:rPr>
        <w:t>认为需要，在监督人员在场的情况下，可要求投标单位对投标文件中的有关问题进行澄清或提供补充说明及有关资料，投标单位应做出书面答复。书面答复中不得变更价格、供货期、自报质量等实质性内容。</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jc w:val="both"/>
        <w:textAlignment w:val="auto"/>
        <w:rPr>
          <w:rFonts w:hint="eastAsia" w:ascii="宋体"/>
          <w:szCs w:val="21"/>
        </w:rPr>
      </w:pPr>
      <w:r>
        <w:rPr>
          <w:rFonts w:hint="eastAsia" w:ascii="宋体"/>
          <w:szCs w:val="21"/>
        </w:rPr>
        <w:t>2.2书面答复须经投标单位法定代理人或其授权委托代理人的签字或印鉴，签字或盖印鉴的书面答复将视为投标文件的组成部分。投标截止时间后，投标人对投标报价或其它实质性内容修正的函件和增加的任何优惠条件，一律不得作为评标、定标的依据。</w:t>
      </w:r>
    </w:p>
    <w:p>
      <w:pPr>
        <w:spacing w:line="440" w:lineRule="exact"/>
        <w:ind w:firstLine="440" w:firstLineChars="200"/>
        <w:jc w:val="both"/>
        <w:rPr>
          <w:rFonts w:hint="eastAsia" w:ascii="宋体"/>
          <w:szCs w:val="21"/>
        </w:rPr>
      </w:pPr>
      <w:r>
        <w:rPr>
          <w:rFonts w:hint="eastAsia" w:ascii="宋体"/>
          <w:szCs w:val="21"/>
        </w:rPr>
        <w:t>2.3 招标人不接受投标单位主动提出的澄清。</w:t>
      </w:r>
    </w:p>
    <w:p>
      <w:pPr>
        <w:pStyle w:val="4"/>
        <w:bidi w:val="0"/>
        <w:rPr>
          <w:rFonts w:hint="eastAsia"/>
        </w:rPr>
      </w:pPr>
      <w:r>
        <w:rPr>
          <w:rFonts w:hint="eastAsia"/>
        </w:rPr>
        <w:t>3.推荐中标候选人名单</w:t>
      </w:r>
    </w:p>
    <w:p>
      <w:pPr>
        <w:spacing w:line="440" w:lineRule="exact"/>
        <w:ind w:firstLine="440" w:firstLineChars="200"/>
        <w:jc w:val="both"/>
        <w:rPr>
          <w:rFonts w:hint="eastAsia" w:ascii="宋体"/>
          <w:szCs w:val="21"/>
        </w:rPr>
      </w:pPr>
      <w:r>
        <w:rPr>
          <w:rFonts w:hint="eastAsia" w:ascii="宋体"/>
          <w:szCs w:val="21"/>
        </w:rPr>
        <w:t>3.1根据评标办法确定的中标候选人。</w:t>
      </w:r>
    </w:p>
    <w:p>
      <w:pPr>
        <w:spacing w:line="440" w:lineRule="exact"/>
        <w:ind w:firstLine="440" w:firstLineChars="200"/>
        <w:jc w:val="both"/>
        <w:rPr>
          <w:rFonts w:hint="eastAsia" w:ascii="宋体"/>
          <w:szCs w:val="21"/>
        </w:rPr>
      </w:pPr>
      <w:r>
        <w:rPr>
          <w:rFonts w:hint="eastAsia" w:ascii="宋体"/>
          <w:szCs w:val="21"/>
        </w:rPr>
        <w:t>4.在投标文件的审查、澄清、评价和比较以及授予合同过程中，投标单位对招标单位和</w:t>
      </w:r>
      <w:r>
        <w:rPr>
          <w:rFonts w:hint="eastAsia"/>
          <w:szCs w:val="21"/>
          <w:lang w:eastAsia="zh-CN"/>
        </w:rPr>
        <w:t>评标小组</w:t>
      </w:r>
      <w:r>
        <w:rPr>
          <w:rFonts w:hint="eastAsia" w:ascii="宋体"/>
          <w:szCs w:val="21"/>
        </w:rPr>
        <w:t>成员施加影响的任何行为，都将导致取消其中标资格。</w:t>
      </w:r>
    </w:p>
    <w:p>
      <w:pPr>
        <w:spacing w:before="156" w:beforeLines="50" w:after="156" w:afterLines="50" w:line="360" w:lineRule="auto"/>
        <w:jc w:val="both"/>
        <w:outlineLvl w:val="9"/>
        <w:rPr>
          <w:rFonts w:ascii="宋体"/>
          <w:b/>
          <w:sz w:val="28"/>
          <w:szCs w:val="28"/>
        </w:rPr>
        <w:sectPr>
          <w:pgSz w:w="11906" w:h="16838"/>
          <w:pgMar w:top="1440" w:right="1800" w:bottom="1440" w:left="1800" w:header="851" w:footer="992" w:gutter="0"/>
          <w:pgNumType w:fmt="decimal"/>
          <w:cols w:space="720" w:num="1"/>
          <w:docGrid w:type="lines" w:linePitch="312" w:charSpace="0"/>
        </w:sectPr>
      </w:pPr>
      <w:bookmarkStart w:id="35" w:name="_Toc362983802"/>
    </w:p>
    <w:p>
      <w:pPr>
        <w:pStyle w:val="2"/>
        <w:bidi w:val="0"/>
        <w:rPr>
          <w:rFonts w:hint="eastAsia"/>
        </w:rPr>
      </w:pPr>
      <w:bookmarkStart w:id="36" w:name="_Toc469495733"/>
      <w:r>
        <w:rPr>
          <w:rFonts w:hint="eastAsia"/>
        </w:rPr>
        <w:t>二  投标文件</w:t>
      </w:r>
      <w:bookmarkEnd w:id="35"/>
      <w:bookmarkEnd w:id="36"/>
      <w:r>
        <w:rPr>
          <w:rFonts w:hint="eastAsia"/>
        </w:rPr>
        <w:t>审查标准</w:t>
      </w:r>
    </w:p>
    <w:tbl>
      <w:tblPr>
        <w:tblStyle w:val="20"/>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235"/>
        <w:gridCol w:w="3308"/>
        <w:gridCol w:w="3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25" w:type="dxa"/>
            <w:noWrap w:val="0"/>
            <w:vAlign w:val="center"/>
          </w:tcPr>
          <w:p>
            <w:pPr>
              <w:spacing w:line="320" w:lineRule="exact"/>
              <w:jc w:val="center"/>
              <w:rPr>
                <w:rFonts w:hint="eastAsia"/>
              </w:rPr>
            </w:pPr>
            <w:r>
              <w:rPr>
                <w:rFonts w:hint="eastAsia" w:ascii="黑体" w:eastAsia="黑体" w:cs="黑体"/>
                <w:b/>
                <w:bCs/>
                <w:szCs w:val="21"/>
              </w:rPr>
              <w:t>序号</w:t>
            </w:r>
          </w:p>
        </w:tc>
        <w:tc>
          <w:tcPr>
            <w:tcW w:w="4543" w:type="dxa"/>
            <w:gridSpan w:val="2"/>
            <w:noWrap w:val="0"/>
            <w:vAlign w:val="center"/>
          </w:tcPr>
          <w:p>
            <w:pPr>
              <w:spacing w:line="320" w:lineRule="exact"/>
              <w:jc w:val="center"/>
              <w:rPr>
                <w:rFonts w:hint="eastAsia"/>
              </w:rPr>
            </w:pPr>
            <w:r>
              <w:rPr>
                <w:rFonts w:hint="eastAsia" w:ascii="宋体" w:hAnsi="宋体"/>
                <w:szCs w:val="21"/>
              </w:rPr>
              <w:t>评审因素</w:t>
            </w:r>
          </w:p>
        </w:tc>
        <w:tc>
          <w:tcPr>
            <w:tcW w:w="3629" w:type="dxa"/>
            <w:noWrap w:val="0"/>
            <w:vAlign w:val="center"/>
          </w:tcPr>
          <w:p>
            <w:pPr>
              <w:spacing w:line="320" w:lineRule="exact"/>
              <w:jc w:val="center"/>
              <w:rPr>
                <w:rFonts w:hint="eastAsia"/>
              </w:rPr>
            </w:pPr>
            <w:r>
              <w:rPr>
                <w:rFonts w:hint="eastAsia" w:ascii="宋体" w:hAnsi="宋体"/>
                <w:szCs w:val="21"/>
              </w:rPr>
              <w:t>评审内容标准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25" w:type="dxa"/>
            <w:noWrap w:val="0"/>
            <w:vAlign w:val="center"/>
          </w:tcPr>
          <w:p>
            <w:pPr>
              <w:spacing w:line="320" w:lineRule="exact"/>
              <w:jc w:val="center"/>
              <w:rPr>
                <w:rFonts w:hint="eastAsia" w:ascii="宋体" w:hAnsi="宋体"/>
                <w:szCs w:val="21"/>
              </w:rPr>
            </w:pPr>
            <w:r>
              <w:rPr>
                <w:rFonts w:hint="eastAsia" w:ascii="宋体" w:hAnsi="宋体"/>
                <w:szCs w:val="21"/>
              </w:rPr>
              <w:t>1</w:t>
            </w:r>
          </w:p>
        </w:tc>
        <w:tc>
          <w:tcPr>
            <w:tcW w:w="1235" w:type="dxa"/>
            <w:noWrap w:val="0"/>
            <w:vAlign w:val="center"/>
          </w:tcPr>
          <w:p>
            <w:pPr>
              <w:spacing w:line="320" w:lineRule="exact"/>
              <w:jc w:val="center"/>
              <w:rPr>
                <w:rFonts w:hint="eastAsia" w:ascii="宋体" w:hAnsi="宋体"/>
                <w:szCs w:val="21"/>
              </w:rPr>
            </w:pPr>
            <w:r>
              <w:rPr>
                <w:rFonts w:hint="eastAsia" w:ascii="宋体"/>
                <w:szCs w:val="21"/>
              </w:rPr>
              <w:t>重要要求</w:t>
            </w:r>
          </w:p>
        </w:tc>
        <w:tc>
          <w:tcPr>
            <w:tcW w:w="3308" w:type="dxa"/>
            <w:noWrap w:val="0"/>
            <w:vAlign w:val="center"/>
          </w:tcPr>
          <w:p>
            <w:pPr>
              <w:spacing w:line="320" w:lineRule="exact"/>
              <w:rPr>
                <w:rFonts w:hint="eastAsia" w:ascii="宋体" w:hAnsi="宋体"/>
                <w:szCs w:val="21"/>
              </w:rPr>
            </w:pPr>
            <w:r>
              <w:rPr>
                <w:rFonts w:hint="eastAsia"/>
              </w:rPr>
              <w:t>法定代表人身份证明和本人身份证(或法定代表人授权委托书原件和委托代理人身份证)</w:t>
            </w:r>
          </w:p>
        </w:tc>
        <w:tc>
          <w:tcPr>
            <w:tcW w:w="3629" w:type="dxa"/>
            <w:noWrap w:val="0"/>
            <w:vAlign w:val="center"/>
          </w:tcPr>
          <w:p>
            <w:pPr>
              <w:spacing w:line="320" w:lineRule="exact"/>
              <w:jc w:val="left"/>
              <w:rPr>
                <w:rFonts w:hint="eastAsia" w:ascii="宋体" w:hAnsi="宋体"/>
                <w:szCs w:val="21"/>
              </w:rPr>
            </w:pPr>
            <w:r>
              <w:rPr>
                <w:rFonts w:hint="eastAsia"/>
              </w:rPr>
              <w:t>法定代表人身份证明和本人身份证原件(或法定代表人授权委托书原件和委托代理人身份证原件)有效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725" w:type="dxa"/>
            <w:vMerge w:val="restart"/>
            <w:noWrap w:val="0"/>
            <w:vAlign w:val="center"/>
          </w:tcPr>
          <w:p>
            <w:pPr>
              <w:spacing w:line="320" w:lineRule="exact"/>
              <w:jc w:val="center"/>
              <w:rPr>
                <w:rFonts w:hint="eastAsia" w:ascii="宋体" w:hAnsi="宋体" w:eastAsia="宋体"/>
                <w:szCs w:val="21"/>
                <w:lang w:val="en-US" w:eastAsia="zh-CN"/>
              </w:rPr>
            </w:pPr>
            <w:r>
              <w:rPr>
                <w:rFonts w:hint="eastAsia"/>
                <w:szCs w:val="21"/>
                <w:lang w:val="en-US" w:eastAsia="zh-CN"/>
              </w:rPr>
              <w:t>2</w:t>
            </w:r>
          </w:p>
        </w:tc>
        <w:tc>
          <w:tcPr>
            <w:tcW w:w="1235" w:type="dxa"/>
            <w:vMerge w:val="restart"/>
            <w:noWrap w:val="0"/>
            <w:vAlign w:val="center"/>
          </w:tcPr>
          <w:p>
            <w:pPr>
              <w:spacing w:line="320" w:lineRule="exact"/>
              <w:jc w:val="center"/>
              <w:rPr>
                <w:rFonts w:hint="eastAsia" w:ascii="宋体" w:hAnsi="宋体" w:eastAsia="宋体"/>
                <w:szCs w:val="21"/>
                <w:lang w:val="en-US" w:eastAsia="zh-CN"/>
              </w:rPr>
            </w:pPr>
            <w:r>
              <w:rPr>
                <w:rFonts w:hint="eastAsia"/>
                <w:szCs w:val="21"/>
                <w:lang w:val="en-US" w:eastAsia="zh-CN"/>
              </w:rPr>
              <w:t>审查</w:t>
            </w:r>
          </w:p>
        </w:tc>
        <w:tc>
          <w:tcPr>
            <w:tcW w:w="3308" w:type="dxa"/>
            <w:noWrap w:val="0"/>
            <w:vAlign w:val="center"/>
          </w:tcPr>
          <w:p>
            <w:pPr>
              <w:spacing w:line="360" w:lineRule="exact"/>
              <w:rPr>
                <w:rFonts w:hint="eastAsia" w:ascii="宋体" w:hAnsi="宋体" w:cs="宋体"/>
                <w:b/>
                <w:szCs w:val="21"/>
              </w:rPr>
            </w:pPr>
            <w:r>
              <w:rPr>
                <w:rFonts w:hint="eastAsia" w:ascii="宋体" w:hAnsi="宋体" w:cs="宋体"/>
                <w:b w:val="0"/>
                <w:bCs/>
                <w:szCs w:val="21"/>
                <w:lang w:val="en-US" w:eastAsia="zh-CN"/>
              </w:rPr>
              <w:t>入库中标通知书</w:t>
            </w:r>
          </w:p>
        </w:tc>
        <w:tc>
          <w:tcPr>
            <w:tcW w:w="3629" w:type="dxa"/>
            <w:noWrap w:val="0"/>
            <w:vAlign w:val="center"/>
          </w:tcPr>
          <w:p>
            <w:pPr>
              <w:spacing w:line="360" w:lineRule="exact"/>
              <w:rPr>
                <w:rFonts w:hint="eastAsia" w:ascii="宋体"/>
                <w:b/>
                <w:szCs w:val="21"/>
              </w:rPr>
            </w:pPr>
            <w:r>
              <w:rPr>
                <w:rFonts w:hint="eastAsia" w:ascii="宋体" w:cs="宋体"/>
                <w:szCs w:val="21"/>
              </w:rPr>
              <w:t>投标人的</w:t>
            </w:r>
            <w:r>
              <w:rPr>
                <w:rFonts w:hint="eastAsia" w:cs="宋体"/>
                <w:szCs w:val="21"/>
                <w:lang w:val="en-US" w:eastAsia="zh-CN"/>
              </w:rPr>
              <w:t>2019</w:t>
            </w:r>
            <w:r>
              <w:rPr>
                <w:rFonts w:hint="eastAsia" w:ascii="宋体" w:cs="宋体"/>
                <w:szCs w:val="21"/>
                <w:lang w:val="en-US" w:eastAsia="zh-CN"/>
              </w:rPr>
              <w:t>年安徽省滁州琅琊山零星工程监理库入库中标通知书</w:t>
            </w:r>
            <w:r>
              <w:rPr>
                <w:rFonts w:hint="eastAsia" w:cs="宋体"/>
                <w:szCs w:val="21"/>
                <w:lang w:val="en-US" w:eastAsia="zh-CN"/>
              </w:rPr>
              <w:t>（</w:t>
            </w:r>
            <w:r>
              <w:rPr>
                <w:rFonts w:hint="eastAsia"/>
                <w:szCs w:val="21"/>
                <w:lang w:val="en-US" w:eastAsia="zh-CN"/>
              </w:rPr>
              <w:t>提供复印件加盖公章</w:t>
            </w:r>
            <w:r>
              <w:rPr>
                <w:rFonts w:hint="eastAsia" w:cs="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725" w:type="dxa"/>
            <w:vMerge w:val="continue"/>
            <w:noWrap w:val="0"/>
            <w:vAlign w:val="center"/>
          </w:tcPr>
          <w:p>
            <w:pPr>
              <w:spacing w:line="320" w:lineRule="exact"/>
              <w:jc w:val="center"/>
              <w:rPr>
                <w:rFonts w:hint="eastAsia"/>
                <w:szCs w:val="21"/>
                <w:lang w:val="en-US" w:eastAsia="zh-CN"/>
              </w:rPr>
            </w:pPr>
          </w:p>
        </w:tc>
        <w:tc>
          <w:tcPr>
            <w:tcW w:w="1235" w:type="dxa"/>
            <w:vMerge w:val="continue"/>
            <w:noWrap w:val="0"/>
            <w:vAlign w:val="center"/>
          </w:tcPr>
          <w:p>
            <w:pPr>
              <w:spacing w:line="320" w:lineRule="exact"/>
              <w:jc w:val="center"/>
              <w:rPr>
                <w:rFonts w:hint="eastAsia"/>
                <w:szCs w:val="21"/>
                <w:lang w:val="en-US" w:eastAsia="zh-CN"/>
              </w:rPr>
            </w:pPr>
          </w:p>
        </w:tc>
        <w:tc>
          <w:tcPr>
            <w:tcW w:w="3308" w:type="dxa"/>
            <w:noWrap w:val="0"/>
            <w:vAlign w:val="center"/>
          </w:tcPr>
          <w:p>
            <w:pPr>
              <w:spacing w:line="440" w:lineRule="exact"/>
              <w:ind w:left="0" w:leftChars="0" w:right="0" w:rightChars="0"/>
              <w:rPr>
                <w:rFonts w:hint="eastAsia" w:ascii="宋体" w:hAnsi="宋体" w:cs="宋体"/>
                <w:b w:val="0"/>
                <w:bCs/>
                <w:szCs w:val="21"/>
                <w:lang w:val="en-US" w:eastAsia="zh-CN"/>
              </w:rPr>
            </w:pPr>
            <w:r>
              <w:rPr>
                <w:rFonts w:hint="eastAsia" w:ascii="宋体" w:cs="宋体"/>
                <w:szCs w:val="21"/>
              </w:rPr>
              <w:t>企业法人营业执照（或三证合一的有效证件）</w:t>
            </w:r>
          </w:p>
        </w:tc>
        <w:tc>
          <w:tcPr>
            <w:tcW w:w="3629" w:type="dxa"/>
            <w:noWrap w:val="0"/>
            <w:vAlign w:val="center"/>
          </w:tcPr>
          <w:p>
            <w:pPr>
              <w:spacing w:line="440" w:lineRule="exact"/>
              <w:ind w:left="0" w:leftChars="0" w:right="0" w:rightChars="0"/>
              <w:jc w:val="center"/>
              <w:rPr>
                <w:rFonts w:hint="eastAsia" w:ascii="宋体" w:cs="宋体"/>
                <w:szCs w:val="21"/>
              </w:rPr>
            </w:pPr>
            <w:r>
              <w:rPr>
                <w:rFonts w:hint="eastAsia"/>
                <w:szCs w:val="21"/>
                <w:lang w:val="en-US" w:eastAsia="zh-CN"/>
              </w:rPr>
              <w:t>提供复印件加盖公章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725" w:type="dxa"/>
            <w:vMerge w:val="continue"/>
            <w:noWrap w:val="0"/>
            <w:vAlign w:val="center"/>
          </w:tcPr>
          <w:p>
            <w:pPr>
              <w:spacing w:line="320" w:lineRule="exact"/>
              <w:jc w:val="center"/>
              <w:rPr>
                <w:rFonts w:hint="eastAsia"/>
                <w:szCs w:val="21"/>
                <w:lang w:val="en-US" w:eastAsia="zh-CN"/>
              </w:rPr>
            </w:pPr>
          </w:p>
        </w:tc>
        <w:tc>
          <w:tcPr>
            <w:tcW w:w="1235" w:type="dxa"/>
            <w:vMerge w:val="continue"/>
            <w:noWrap w:val="0"/>
            <w:vAlign w:val="center"/>
          </w:tcPr>
          <w:p>
            <w:pPr>
              <w:spacing w:line="320" w:lineRule="exact"/>
              <w:jc w:val="center"/>
              <w:rPr>
                <w:rFonts w:hint="eastAsia"/>
                <w:szCs w:val="21"/>
                <w:lang w:val="en-US" w:eastAsia="zh-CN"/>
              </w:rPr>
            </w:pPr>
          </w:p>
        </w:tc>
        <w:tc>
          <w:tcPr>
            <w:tcW w:w="3308" w:type="dxa"/>
            <w:noWrap w:val="0"/>
            <w:vAlign w:val="center"/>
          </w:tcPr>
          <w:p>
            <w:pPr>
              <w:spacing w:line="440" w:lineRule="exact"/>
              <w:ind w:left="0" w:leftChars="0" w:right="0" w:rightChars="0"/>
              <w:rPr>
                <w:rFonts w:hint="eastAsia" w:ascii="宋体" w:hAnsi="宋体" w:cs="宋体"/>
                <w:b w:val="0"/>
                <w:bCs/>
                <w:szCs w:val="21"/>
                <w:lang w:val="en-US" w:eastAsia="zh-CN"/>
              </w:rPr>
            </w:pPr>
            <w:r>
              <w:rPr>
                <w:rFonts w:hint="eastAsia" w:ascii="宋体" w:cs="宋体"/>
                <w:szCs w:val="21"/>
              </w:rPr>
              <w:t>企业资质证书</w:t>
            </w:r>
          </w:p>
        </w:tc>
        <w:tc>
          <w:tcPr>
            <w:tcW w:w="3629" w:type="dxa"/>
            <w:noWrap w:val="0"/>
            <w:vAlign w:val="center"/>
          </w:tcPr>
          <w:p>
            <w:pPr>
              <w:spacing w:line="440" w:lineRule="exact"/>
              <w:ind w:left="0" w:leftChars="0" w:right="0" w:rightChars="0"/>
              <w:jc w:val="center"/>
              <w:rPr>
                <w:rFonts w:hint="eastAsia" w:ascii="宋体" w:cs="宋体"/>
                <w:szCs w:val="21"/>
              </w:rPr>
            </w:pPr>
            <w:r>
              <w:rPr>
                <w:rFonts w:hint="eastAsia"/>
                <w:szCs w:val="21"/>
                <w:lang w:val="en-US" w:eastAsia="zh-CN"/>
              </w:rPr>
              <w:t>提供复印件加盖公章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725" w:type="dxa"/>
            <w:vMerge w:val="continue"/>
            <w:noWrap w:val="0"/>
            <w:vAlign w:val="center"/>
          </w:tcPr>
          <w:p>
            <w:pPr>
              <w:spacing w:line="320" w:lineRule="exact"/>
              <w:jc w:val="center"/>
              <w:rPr>
                <w:rFonts w:hint="eastAsia"/>
                <w:szCs w:val="21"/>
                <w:lang w:val="en-US" w:eastAsia="zh-CN"/>
              </w:rPr>
            </w:pPr>
          </w:p>
        </w:tc>
        <w:tc>
          <w:tcPr>
            <w:tcW w:w="1235" w:type="dxa"/>
            <w:vMerge w:val="continue"/>
            <w:noWrap w:val="0"/>
            <w:vAlign w:val="center"/>
          </w:tcPr>
          <w:p>
            <w:pPr>
              <w:spacing w:line="320" w:lineRule="exact"/>
              <w:jc w:val="center"/>
              <w:rPr>
                <w:rFonts w:hint="eastAsia"/>
                <w:szCs w:val="21"/>
                <w:lang w:val="en-US" w:eastAsia="zh-CN"/>
              </w:rPr>
            </w:pPr>
          </w:p>
        </w:tc>
        <w:tc>
          <w:tcPr>
            <w:tcW w:w="3308" w:type="dxa"/>
            <w:noWrap w:val="0"/>
            <w:vAlign w:val="center"/>
          </w:tcPr>
          <w:p>
            <w:pPr>
              <w:spacing w:line="440" w:lineRule="exact"/>
              <w:ind w:left="0" w:leftChars="0" w:right="0" w:rightChars="0"/>
              <w:rPr>
                <w:rFonts w:hint="eastAsia" w:ascii="宋体" w:hAnsi="宋体" w:cs="宋体"/>
                <w:b w:val="0"/>
                <w:bCs/>
                <w:szCs w:val="21"/>
                <w:lang w:val="en-US" w:eastAsia="zh-CN"/>
              </w:rPr>
            </w:pPr>
            <w:r>
              <w:rPr>
                <w:rFonts w:hint="eastAsia" w:ascii="宋体" w:cs="宋体"/>
                <w:szCs w:val="21"/>
              </w:rPr>
              <w:t>总监理工程师的身份证、注册监理工程师注册证书、职称证书</w:t>
            </w:r>
          </w:p>
        </w:tc>
        <w:tc>
          <w:tcPr>
            <w:tcW w:w="3629" w:type="dxa"/>
            <w:noWrap w:val="0"/>
            <w:vAlign w:val="center"/>
          </w:tcPr>
          <w:p>
            <w:pPr>
              <w:spacing w:line="440" w:lineRule="exact"/>
              <w:ind w:left="0" w:leftChars="0" w:right="0" w:rightChars="0"/>
              <w:jc w:val="center"/>
              <w:rPr>
                <w:rFonts w:hint="eastAsia" w:ascii="宋体" w:cs="宋体"/>
                <w:szCs w:val="21"/>
              </w:rPr>
            </w:pPr>
            <w:r>
              <w:rPr>
                <w:rFonts w:hint="eastAsia"/>
                <w:szCs w:val="21"/>
                <w:lang w:val="en-US" w:eastAsia="zh-CN"/>
              </w:rPr>
              <w:t>提供复印件加盖公章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725" w:type="dxa"/>
            <w:vMerge w:val="continue"/>
            <w:noWrap w:val="0"/>
            <w:vAlign w:val="center"/>
          </w:tcPr>
          <w:p>
            <w:pPr>
              <w:spacing w:line="320" w:lineRule="exact"/>
              <w:jc w:val="center"/>
              <w:rPr>
                <w:rFonts w:hint="eastAsia"/>
                <w:szCs w:val="21"/>
                <w:lang w:val="en-US" w:eastAsia="zh-CN"/>
              </w:rPr>
            </w:pPr>
          </w:p>
        </w:tc>
        <w:tc>
          <w:tcPr>
            <w:tcW w:w="1235" w:type="dxa"/>
            <w:vMerge w:val="continue"/>
            <w:noWrap w:val="0"/>
            <w:vAlign w:val="center"/>
          </w:tcPr>
          <w:p>
            <w:pPr>
              <w:spacing w:line="320" w:lineRule="exact"/>
              <w:jc w:val="center"/>
              <w:rPr>
                <w:rFonts w:hint="eastAsia"/>
                <w:szCs w:val="21"/>
                <w:lang w:val="en-US" w:eastAsia="zh-CN"/>
              </w:rPr>
            </w:pPr>
          </w:p>
        </w:tc>
        <w:tc>
          <w:tcPr>
            <w:tcW w:w="3308" w:type="dxa"/>
            <w:noWrap w:val="0"/>
            <w:vAlign w:val="center"/>
          </w:tcPr>
          <w:p>
            <w:pPr>
              <w:spacing w:line="440" w:lineRule="exact"/>
              <w:ind w:left="0" w:leftChars="0" w:right="0" w:rightChars="0"/>
              <w:rPr>
                <w:rFonts w:hint="eastAsia" w:ascii="宋体" w:hAnsi="宋体" w:cs="宋体"/>
                <w:b w:val="0"/>
                <w:bCs/>
                <w:szCs w:val="21"/>
                <w:lang w:val="en-US" w:eastAsia="zh-CN"/>
              </w:rPr>
            </w:pPr>
            <w:r>
              <w:rPr>
                <w:rFonts w:hint="eastAsia" w:ascii="宋体"/>
                <w:szCs w:val="21"/>
              </w:rPr>
              <w:t>监理组织架构、监理人员名单及上岗证等有关证书</w:t>
            </w:r>
          </w:p>
        </w:tc>
        <w:tc>
          <w:tcPr>
            <w:tcW w:w="3629" w:type="dxa"/>
            <w:noWrap w:val="0"/>
            <w:vAlign w:val="center"/>
          </w:tcPr>
          <w:p>
            <w:pPr>
              <w:spacing w:line="440" w:lineRule="exact"/>
              <w:ind w:left="0" w:leftChars="0" w:right="0" w:rightChars="0"/>
              <w:jc w:val="center"/>
              <w:rPr>
                <w:rFonts w:hint="eastAsia" w:ascii="宋体" w:cs="宋体"/>
                <w:szCs w:val="21"/>
              </w:rPr>
            </w:pPr>
            <w:r>
              <w:rPr>
                <w:rFonts w:hint="eastAsia"/>
                <w:szCs w:val="21"/>
                <w:lang w:val="en-US" w:eastAsia="zh-CN"/>
              </w:rPr>
              <w:t>提供复印件加盖公章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5" w:type="dxa"/>
            <w:vMerge w:val="continue"/>
            <w:noWrap w:val="0"/>
            <w:vAlign w:val="center"/>
          </w:tcPr>
          <w:p>
            <w:pPr>
              <w:spacing w:line="320" w:lineRule="exact"/>
              <w:jc w:val="center"/>
              <w:rPr>
                <w:rFonts w:hint="eastAsia" w:ascii="宋体" w:hAnsi="宋体"/>
                <w:szCs w:val="21"/>
              </w:rPr>
            </w:pPr>
          </w:p>
        </w:tc>
        <w:tc>
          <w:tcPr>
            <w:tcW w:w="1235" w:type="dxa"/>
            <w:vMerge w:val="continue"/>
            <w:noWrap w:val="0"/>
            <w:vAlign w:val="center"/>
          </w:tcPr>
          <w:p>
            <w:pPr>
              <w:spacing w:line="320" w:lineRule="exact"/>
              <w:rPr>
                <w:rFonts w:hint="eastAsia" w:ascii="宋体" w:hAnsi="宋体"/>
                <w:szCs w:val="21"/>
              </w:rPr>
            </w:pPr>
          </w:p>
        </w:tc>
        <w:tc>
          <w:tcPr>
            <w:tcW w:w="3308" w:type="dxa"/>
            <w:noWrap w:val="0"/>
            <w:vAlign w:val="center"/>
          </w:tcPr>
          <w:p>
            <w:pPr>
              <w:spacing w:line="320" w:lineRule="atLeast"/>
              <w:rPr>
                <w:rFonts w:hint="eastAsia" w:ascii="宋体" w:cs="仿宋_GB2312"/>
                <w:szCs w:val="21"/>
                <w:lang w:val="zh-CN"/>
              </w:rPr>
            </w:pPr>
            <w:r>
              <w:rPr>
                <w:rFonts w:hint="eastAsia" w:ascii="宋体" w:cs="仿宋_GB2312"/>
                <w:szCs w:val="21"/>
                <w:lang w:val="zh-CN"/>
              </w:rPr>
              <w:t>投标文件形式内容</w:t>
            </w:r>
          </w:p>
        </w:tc>
        <w:tc>
          <w:tcPr>
            <w:tcW w:w="3629" w:type="dxa"/>
            <w:noWrap w:val="0"/>
            <w:vAlign w:val="center"/>
          </w:tcPr>
          <w:p>
            <w:pPr>
              <w:spacing w:line="320" w:lineRule="atLeast"/>
              <w:rPr>
                <w:rFonts w:hint="eastAsia" w:ascii="宋体" w:cs="仿宋_GB2312"/>
                <w:szCs w:val="21"/>
                <w:lang w:val="zh-CN"/>
              </w:rPr>
            </w:pPr>
            <w:r>
              <w:rPr>
                <w:rFonts w:hint="eastAsia" w:ascii="宋体" w:cs="仿宋_GB2312"/>
                <w:szCs w:val="21"/>
                <w:lang w:val="zh-CN"/>
              </w:rPr>
              <w:t>投标文件内容清晰、齐全无遗漏。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5" w:type="dxa"/>
            <w:vMerge w:val="continue"/>
            <w:noWrap w:val="0"/>
            <w:vAlign w:val="center"/>
          </w:tcPr>
          <w:p>
            <w:pPr>
              <w:spacing w:line="320" w:lineRule="exact"/>
              <w:jc w:val="center"/>
              <w:rPr>
                <w:rFonts w:hint="eastAsia" w:ascii="宋体" w:hAnsi="宋体"/>
                <w:szCs w:val="21"/>
              </w:rPr>
            </w:pPr>
          </w:p>
        </w:tc>
        <w:tc>
          <w:tcPr>
            <w:tcW w:w="1235" w:type="dxa"/>
            <w:vMerge w:val="continue"/>
            <w:noWrap w:val="0"/>
            <w:vAlign w:val="center"/>
          </w:tcPr>
          <w:p>
            <w:pPr>
              <w:spacing w:line="320" w:lineRule="exact"/>
              <w:rPr>
                <w:rFonts w:hint="eastAsia" w:ascii="宋体" w:hAnsi="宋体"/>
                <w:szCs w:val="21"/>
              </w:rPr>
            </w:pPr>
          </w:p>
        </w:tc>
        <w:tc>
          <w:tcPr>
            <w:tcW w:w="3308" w:type="dxa"/>
            <w:noWrap w:val="0"/>
            <w:vAlign w:val="center"/>
          </w:tcPr>
          <w:p>
            <w:pPr>
              <w:spacing w:line="320" w:lineRule="atLeast"/>
              <w:rPr>
                <w:rFonts w:hint="eastAsia" w:ascii="宋体" w:cs="仿宋_GB2312"/>
                <w:szCs w:val="21"/>
                <w:lang w:val="zh-CN"/>
              </w:rPr>
            </w:pPr>
            <w:r>
              <w:rPr>
                <w:rFonts w:hint="eastAsia" w:ascii="宋体" w:cs="仿宋_GB2312"/>
                <w:szCs w:val="21"/>
                <w:lang w:val="zh-CN"/>
              </w:rPr>
              <w:t>投标方案</w:t>
            </w:r>
          </w:p>
        </w:tc>
        <w:tc>
          <w:tcPr>
            <w:tcW w:w="3629" w:type="dxa"/>
            <w:noWrap w:val="0"/>
            <w:vAlign w:val="center"/>
          </w:tcPr>
          <w:p>
            <w:pPr>
              <w:spacing w:line="320" w:lineRule="atLeast"/>
              <w:rPr>
                <w:rFonts w:hint="eastAsia" w:ascii="宋体" w:cs="仿宋_GB2312"/>
                <w:szCs w:val="21"/>
                <w:lang w:val="zh-CN"/>
              </w:rPr>
            </w:pPr>
            <w:r>
              <w:rPr>
                <w:rFonts w:hint="eastAsia" w:ascii="宋体" w:hAnsi="宋体" w:cs="仿宋_GB2312"/>
                <w:szCs w:val="21"/>
                <w:lang w:val="zh-CN"/>
              </w:rPr>
              <w:t>只能有一个方案投标。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725" w:type="dxa"/>
            <w:vMerge w:val="continue"/>
            <w:noWrap w:val="0"/>
            <w:vAlign w:val="center"/>
          </w:tcPr>
          <w:p>
            <w:pPr>
              <w:spacing w:line="320" w:lineRule="exact"/>
              <w:jc w:val="center"/>
              <w:rPr>
                <w:rFonts w:hint="eastAsia" w:ascii="宋体" w:hAnsi="宋体"/>
                <w:szCs w:val="21"/>
              </w:rPr>
            </w:pPr>
          </w:p>
        </w:tc>
        <w:tc>
          <w:tcPr>
            <w:tcW w:w="1235" w:type="dxa"/>
            <w:vMerge w:val="continue"/>
            <w:noWrap w:val="0"/>
            <w:vAlign w:val="center"/>
          </w:tcPr>
          <w:p>
            <w:pPr>
              <w:spacing w:line="320" w:lineRule="exact"/>
              <w:rPr>
                <w:rFonts w:hint="eastAsia" w:ascii="宋体" w:hAnsi="宋体"/>
                <w:szCs w:val="21"/>
              </w:rPr>
            </w:pPr>
          </w:p>
        </w:tc>
        <w:tc>
          <w:tcPr>
            <w:tcW w:w="3308" w:type="dxa"/>
            <w:noWrap w:val="0"/>
            <w:vAlign w:val="center"/>
          </w:tcPr>
          <w:p>
            <w:pPr>
              <w:spacing w:line="360" w:lineRule="exact"/>
              <w:rPr>
                <w:rFonts w:hint="eastAsia" w:ascii="宋体" w:hAnsi="宋体"/>
                <w:szCs w:val="21"/>
              </w:rPr>
            </w:pPr>
            <w:r>
              <w:rPr>
                <w:rFonts w:hint="eastAsia" w:ascii="宋体" w:cs="仿宋_GB2312"/>
                <w:szCs w:val="21"/>
                <w:lang w:val="zh-CN"/>
              </w:rPr>
              <w:t>投标文件签署</w:t>
            </w:r>
          </w:p>
        </w:tc>
        <w:tc>
          <w:tcPr>
            <w:tcW w:w="3629" w:type="dxa"/>
            <w:noWrap w:val="0"/>
            <w:vAlign w:val="center"/>
          </w:tcPr>
          <w:p>
            <w:pPr>
              <w:spacing w:line="360" w:lineRule="exact"/>
              <w:rPr>
                <w:rFonts w:hint="eastAsia" w:ascii="宋体"/>
                <w:b/>
                <w:szCs w:val="21"/>
              </w:rPr>
            </w:pPr>
            <w:r>
              <w:rPr>
                <w:rFonts w:hint="eastAsia" w:ascii="宋体" w:cs="仿宋_GB2312"/>
                <w:szCs w:val="21"/>
                <w:lang w:val="zh-CN"/>
              </w:rPr>
              <w:t>签章符合要求。</w:t>
            </w:r>
          </w:p>
        </w:tc>
      </w:tr>
    </w:tbl>
    <w:p>
      <w:pPr>
        <w:spacing w:line="400" w:lineRule="exact"/>
        <w:ind w:firstLine="530" w:firstLineChars="241"/>
        <w:rPr>
          <w:rFonts w:hint="eastAsia" w:ascii="宋体"/>
          <w:szCs w:val="21"/>
        </w:rPr>
      </w:pPr>
      <w:r>
        <w:rPr>
          <w:rFonts w:hint="eastAsia" w:ascii="宋体"/>
          <w:szCs w:val="21"/>
        </w:rPr>
        <w:t>1</w:t>
      </w:r>
      <w:r>
        <w:rPr>
          <w:rFonts w:hint="eastAsia"/>
          <w:szCs w:val="21"/>
          <w:lang w:val="en-US" w:eastAsia="zh-CN"/>
        </w:rPr>
        <w:t>.</w:t>
      </w:r>
      <w:r>
        <w:rPr>
          <w:rFonts w:hint="eastAsia" w:ascii="宋体"/>
          <w:szCs w:val="21"/>
        </w:rPr>
        <w:t>评委会判定投标文件的响应性只根据投标文件本身的内容，而不寻求外部的证据，但投标有不真实不正确的内容时除外。</w:t>
      </w:r>
    </w:p>
    <w:p>
      <w:pPr>
        <w:spacing w:line="400" w:lineRule="exact"/>
        <w:ind w:firstLine="530" w:firstLineChars="241"/>
        <w:rPr>
          <w:rFonts w:hint="eastAsia" w:ascii="宋体"/>
          <w:szCs w:val="21"/>
        </w:rPr>
      </w:pPr>
      <w:r>
        <w:rPr>
          <w:rFonts w:hint="eastAsia" w:ascii="宋体"/>
          <w:szCs w:val="21"/>
        </w:rPr>
        <w:t>2</w:t>
      </w:r>
      <w:r>
        <w:rPr>
          <w:rFonts w:hint="eastAsia"/>
          <w:szCs w:val="21"/>
          <w:lang w:val="en-US" w:eastAsia="zh-CN"/>
        </w:rPr>
        <w:t>.</w:t>
      </w:r>
      <w:r>
        <w:rPr>
          <w:rFonts w:hint="eastAsia" w:ascii="宋体"/>
          <w:szCs w:val="21"/>
        </w:rPr>
        <w:t>如果投标文件实质上没有响应交易文件的要求，评委会将予以拒绝，投标人不得通过修正或撤销不符合要求的偏离或保留，而使其投标成为实质上响应的投标。</w:t>
      </w:r>
    </w:p>
    <w:p>
      <w:pPr>
        <w:spacing w:line="400" w:lineRule="exact"/>
        <w:ind w:firstLine="440" w:firstLineChars="200"/>
        <w:rPr>
          <w:rFonts w:hint="eastAsia" w:ascii="宋体" w:eastAsia="宋体"/>
          <w:szCs w:val="21"/>
          <w:lang w:eastAsia="zh-CN"/>
        </w:rPr>
      </w:pPr>
      <w:r>
        <w:rPr>
          <w:rFonts w:hint="eastAsia" w:ascii="宋体"/>
          <w:szCs w:val="21"/>
        </w:rPr>
        <w:t>3</w:t>
      </w:r>
      <w:r>
        <w:rPr>
          <w:rFonts w:hint="eastAsia"/>
          <w:szCs w:val="21"/>
          <w:lang w:val="en-US" w:eastAsia="zh-CN"/>
        </w:rPr>
        <w:t>.</w:t>
      </w:r>
      <w:r>
        <w:rPr>
          <w:rFonts w:hint="eastAsia" w:ascii="宋体"/>
          <w:szCs w:val="21"/>
        </w:rPr>
        <w:t>投标人可在现场20分钟内对</w:t>
      </w:r>
      <w:r>
        <w:rPr>
          <w:rFonts w:hint="eastAsia"/>
          <w:szCs w:val="21"/>
          <w:lang w:eastAsia="zh-CN"/>
        </w:rPr>
        <w:t>评标小组</w:t>
      </w:r>
      <w:r>
        <w:rPr>
          <w:rFonts w:hint="eastAsia" w:ascii="宋体"/>
          <w:szCs w:val="21"/>
        </w:rPr>
        <w:t>的评审结论提出异议，</w:t>
      </w:r>
      <w:r>
        <w:rPr>
          <w:rFonts w:hint="eastAsia"/>
          <w:szCs w:val="21"/>
          <w:lang w:eastAsia="zh-CN"/>
        </w:rPr>
        <w:t>评标小组</w:t>
      </w:r>
      <w:r>
        <w:rPr>
          <w:rFonts w:hint="eastAsia" w:ascii="宋体"/>
          <w:szCs w:val="21"/>
        </w:rPr>
        <w:t>根据交易文件及有关规定对投标人的异议进行复议</w:t>
      </w:r>
      <w:r>
        <w:rPr>
          <w:rFonts w:hint="eastAsia" w:ascii="宋体"/>
          <w:szCs w:val="21"/>
          <w:lang w:eastAsia="zh-CN"/>
        </w:rPr>
        <w:t>。</w:t>
      </w:r>
    </w:p>
    <w:bookmarkEnd w:id="34"/>
    <w:p>
      <w:pPr>
        <w:snapToGrid w:val="0"/>
        <w:spacing w:line="400" w:lineRule="exact"/>
        <w:ind w:firstLine="570"/>
        <w:rPr>
          <w:rFonts w:hint="eastAsia" w:ascii="宋体" w:hAnsi="宋体"/>
          <w:b/>
          <w:szCs w:val="21"/>
        </w:rPr>
      </w:pPr>
      <w:r>
        <w:rPr>
          <w:rFonts w:hint="eastAsia" w:ascii="宋体" w:hAnsi="宋体"/>
          <w:b/>
          <w:szCs w:val="21"/>
        </w:rPr>
        <w:t>4.无效投标条款</w:t>
      </w:r>
    </w:p>
    <w:p>
      <w:pPr>
        <w:snapToGrid w:val="0"/>
        <w:spacing w:line="400" w:lineRule="exact"/>
        <w:ind w:firstLine="440" w:firstLineChars="200"/>
        <w:rPr>
          <w:rFonts w:hint="eastAsia" w:ascii="宋体" w:hAnsi="宋体" w:cs="宋体"/>
          <w:szCs w:val="21"/>
        </w:rPr>
      </w:pPr>
      <w:r>
        <w:rPr>
          <w:rFonts w:hint="eastAsia" w:ascii="宋体" w:hAnsi="宋体" w:cs="宋体"/>
          <w:szCs w:val="21"/>
        </w:rPr>
        <w:t>4.1投标文件有下列情形之一的,其投标文件拒收:</w:t>
      </w:r>
    </w:p>
    <w:p>
      <w:pPr>
        <w:snapToGrid w:val="0"/>
        <w:spacing w:line="400" w:lineRule="exact"/>
        <w:rPr>
          <w:rFonts w:hint="eastAsia" w:ascii="宋体" w:hAnsi="宋体" w:cs="宋体"/>
          <w:b/>
          <w:bCs/>
          <w:color w:val="0000FF"/>
          <w:szCs w:val="21"/>
        </w:rPr>
      </w:pPr>
      <w:r>
        <w:rPr>
          <w:rFonts w:hint="eastAsia" w:ascii="宋体" w:hAnsi="宋体" w:cs="宋体"/>
          <w:szCs w:val="21"/>
        </w:rPr>
        <w:t xml:space="preserve">  </w:t>
      </w:r>
      <w:r>
        <w:rPr>
          <w:rFonts w:hint="eastAsia" w:ascii="宋体" w:hAnsi="宋体" w:cs="宋体"/>
          <w:color w:val="0000FF"/>
          <w:szCs w:val="21"/>
        </w:rPr>
        <w:t xml:space="preserve"> </w:t>
      </w:r>
      <w:r>
        <w:rPr>
          <w:rFonts w:hint="eastAsia" w:ascii="宋体" w:hAnsi="宋体" w:cs="宋体"/>
          <w:b/>
          <w:bCs/>
          <w:color w:val="0000FF"/>
          <w:szCs w:val="21"/>
        </w:rPr>
        <w:t xml:space="preserve"> </w:t>
      </w:r>
      <w:r>
        <w:rPr>
          <w:rFonts w:hint="eastAsia" w:ascii="宋体" w:hAnsi="宋体" w:cs="宋体"/>
          <w:b w:val="0"/>
          <w:bCs w:val="0"/>
          <w:color w:val="auto"/>
          <w:szCs w:val="21"/>
        </w:rPr>
        <w:t>(1) 逾期送达的或者未送达指定地点的投标文件，招标人不予受理。</w:t>
      </w:r>
    </w:p>
    <w:p>
      <w:pPr>
        <w:snapToGrid w:val="0"/>
        <w:spacing w:line="400" w:lineRule="exact"/>
        <w:ind w:firstLine="440" w:firstLineChars="200"/>
        <w:rPr>
          <w:rFonts w:hint="eastAsia" w:ascii="宋体" w:hAnsi="宋体" w:cs="宋体"/>
          <w:szCs w:val="21"/>
        </w:rPr>
      </w:pPr>
      <w:r>
        <w:rPr>
          <w:rFonts w:hint="eastAsia" w:ascii="宋体" w:hAnsi="宋体" w:cs="宋体"/>
          <w:szCs w:val="21"/>
        </w:rPr>
        <w:t>(2)</w:t>
      </w:r>
      <w:r>
        <w:rPr>
          <w:rFonts w:hint="eastAsia" w:ascii="宋体" w:hAnsi="宋体"/>
          <w:b w:val="0"/>
          <w:bCs w:val="0"/>
          <w:color w:val="auto"/>
          <w:szCs w:val="21"/>
        </w:rPr>
        <w:t>未按第二章中要求密封和加写标记的投标文件，其投标文件将被拒收。</w:t>
      </w:r>
    </w:p>
    <w:p>
      <w:pPr>
        <w:snapToGrid w:val="0"/>
        <w:spacing w:line="400" w:lineRule="exact"/>
        <w:rPr>
          <w:rFonts w:hint="eastAsia" w:ascii="宋体" w:hAnsi="宋体" w:cs="宋体"/>
          <w:szCs w:val="21"/>
        </w:rPr>
      </w:pPr>
      <w:r>
        <w:rPr>
          <w:rFonts w:hint="eastAsia" w:ascii="宋体" w:hAnsi="宋体" w:cs="宋体"/>
          <w:szCs w:val="21"/>
        </w:rPr>
        <w:t xml:space="preserve">   4.2投标人有下列情形之一的,资格审查后其投标作无效投标处理：</w:t>
      </w:r>
    </w:p>
    <w:p>
      <w:pPr>
        <w:snapToGrid w:val="0"/>
        <w:spacing w:line="400" w:lineRule="exact"/>
        <w:ind w:firstLine="440" w:firstLineChars="200"/>
        <w:rPr>
          <w:rFonts w:hint="eastAsia" w:ascii="宋体" w:hAnsi="宋体" w:cs="宋体"/>
          <w:szCs w:val="21"/>
        </w:rPr>
      </w:pPr>
      <w:r>
        <w:rPr>
          <w:rFonts w:hint="eastAsia" w:ascii="宋体" w:hAnsi="宋体" w:cs="宋体"/>
          <w:szCs w:val="21"/>
        </w:rPr>
        <w:t>(1)法定代表人参加开标会议未携带有效的法定代表人身份证明原件和本人身份证的；委托代理人参加开标会议未携带有效的法定代表人授权书和本人身份证；</w:t>
      </w:r>
    </w:p>
    <w:p>
      <w:pPr>
        <w:snapToGrid w:val="0"/>
        <w:spacing w:line="400" w:lineRule="exact"/>
        <w:ind w:firstLine="440" w:firstLineChars="200"/>
        <w:rPr>
          <w:rFonts w:hint="eastAsia" w:ascii="宋体" w:hAnsi="宋体" w:cs="宋体"/>
          <w:szCs w:val="21"/>
        </w:rPr>
      </w:pPr>
      <w:r>
        <w:rPr>
          <w:rFonts w:hint="eastAsia" w:ascii="宋体" w:hAnsi="宋体" w:cs="宋体"/>
          <w:szCs w:val="21"/>
        </w:rPr>
        <w:t>(2)投标人为本项目提供招标代理服务的；</w:t>
      </w:r>
    </w:p>
    <w:p>
      <w:pPr>
        <w:snapToGrid w:val="0"/>
        <w:spacing w:line="400" w:lineRule="exact"/>
        <w:ind w:firstLine="440" w:firstLineChars="200"/>
        <w:rPr>
          <w:rFonts w:hint="eastAsia" w:ascii="宋体" w:hAnsi="宋体" w:cs="宋体"/>
          <w:szCs w:val="21"/>
        </w:rPr>
      </w:pPr>
      <w:r>
        <w:rPr>
          <w:rFonts w:hint="eastAsia" w:ascii="宋体" w:hAnsi="宋体" w:cs="宋体"/>
          <w:szCs w:val="21"/>
        </w:rPr>
        <w:t>(3)投标人与在本项目代理机构存在相互任职或工作的；</w:t>
      </w:r>
    </w:p>
    <w:p>
      <w:pPr>
        <w:snapToGrid w:val="0"/>
        <w:spacing w:line="400" w:lineRule="exact"/>
        <w:ind w:firstLine="440" w:firstLineChars="200"/>
        <w:rPr>
          <w:rFonts w:hint="eastAsia" w:ascii="宋体" w:hAnsi="宋体" w:eastAsia="宋体" w:cs="宋体"/>
          <w:szCs w:val="21"/>
          <w:highlight w:val="none"/>
          <w:lang w:eastAsia="zh-CN"/>
        </w:rPr>
      </w:pPr>
      <w:r>
        <w:rPr>
          <w:rFonts w:hint="eastAsia" w:ascii="宋体" w:hAnsi="宋体" w:cs="宋体"/>
          <w:szCs w:val="21"/>
          <w:highlight w:val="none"/>
        </w:rPr>
        <w:t>(4)投标保证金未按规定要求缴纳的；</w:t>
      </w:r>
    </w:p>
    <w:p>
      <w:pPr>
        <w:snapToGrid w:val="0"/>
        <w:spacing w:line="400" w:lineRule="exact"/>
        <w:ind w:firstLine="440" w:firstLineChars="200"/>
        <w:rPr>
          <w:rFonts w:hint="eastAsia" w:ascii="宋体" w:hAnsi="宋体" w:cs="宋体"/>
          <w:szCs w:val="21"/>
        </w:rPr>
      </w:pPr>
      <w:r>
        <w:rPr>
          <w:rFonts w:hint="eastAsia" w:ascii="宋体" w:hAnsi="宋体" w:cs="宋体"/>
          <w:szCs w:val="21"/>
        </w:rPr>
        <w:t>(5)</w:t>
      </w:r>
      <w:r>
        <w:rPr>
          <w:rFonts w:hint="eastAsia" w:ascii="宋体" w:hAnsi="宋体"/>
          <w:b w:val="0"/>
          <w:bCs w:val="0"/>
          <w:color w:val="auto"/>
          <w:szCs w:val="21"/>
        </w:rPr>
        <w:t>评标专家无法查看</w:t>
      </w:r>
      <w:r>
        <w:rPr>
          <w:rFonts w:hint="eastAsia" w:ascii="宋体" w:hAnsi="宋体"/>
          <w:b w:val="0"/>
          <w:bCs w:val="0"/>
          <w:color w:val="auto"/>
          <w:szCs w:val="21"/>
          <w:lang w:eastAsia="zh-CN"/>
        </w:rPr>
        <w:t>投标文件</w:t>
      </w:r>
      <w:r>
        <w:rPr>
          <w:rFonts w:hint="eastAsia" w:ascii="宋体" w:hAnsi="宋体"/>
          <w:b w:val="0"/>
          <w:bCs w:val="0"/>
          <w:color w:val="auto"/>
          <w:szCs w:val="21"/>
        </w:rPr>
        <w:t>中相关资料的；</w:t>
      </w:r>
    </w:p>
    <w:p>
      <w:pPr>
        <w:snapToGrid w:val="0"/>
        <w:spacing w:line="400" w:lineRule="exact"/>
        <w:ind w:firstLine="440" w:firstLineChars="200"/>
        <w:rPr>
          <w:rFonts w:hint="eastAsia" w:ascii="宋体" w:hAnsi="宋体" w:cs="宋体"/>
          <w:szCs w:val="21"/>
        </w:rPr>
      </w:pPr>
      <w:r>
        <w:rPr>
          <w:rFonts w:hint="eastAsia" w:ascii="宋体" w:hAnsi="宋体" w:cs="宋体"/>
          <w:szCs w:val="21"/>
        </w:rPr>
        <w:t>(6)投标人超出营业范围投标的；</w:t>
      </w:r>
    </w:p>
    <w:p>
      <w:pPr>
        <w:snapToGrid w:val="0"/>
        <w:spacing w:line="400" w:lineRule="exact"/>
        <w:ind w:firstLine="440" w:firstLineChars="200"/>
        <w:rPr>
          <w:rFonts w:hint="eastAsia" w:ascii="宋体" w:hAnsi="宋体" w:cs="宋体"/>
          <w:szCs w:val="21"/>
        </w:rPr>
      </w:pPr>
      <w:r>
        <w:rPr>
          <w:rFonts w:hint="eastAsia" w:ascii="宋体" w:hAnsi="宋体" w:cs="宋体"/>
          <w:szCs w:val="21"/>
        </w:rPr>
        <w:t>(7)联合体投标未提交联合体协议的；</w:t>
      </w:r>
    </w:p>
    <w:p>
      <w:pPr>
        <w:snapToGrid w:val="0"/>
        <w:spacing w:line="400" w:lineRule="exact"/>
        <w:ind w:firstLine="440" w:firstLineChars="200"/>
        <w:rPr>
          <w:rFonts w:hint="eastAsia" w:ascii="宋体" w:hAnsi="宋体" w:cs="宋体"/>
          <w:szCs w:val="21"/>
        </w:rPr>
      </w:pPr>
      <w:r>
        <w:rPr>
          <w:rFonts w:hint="eastAsia" w:ascii="宋体" w:hAnsi="宋体" w:cs="宋体"/>
          <w:szCs w:val="21"/>
        </w:rPr>
        <w:t>(8)被暂停营业的；</w:t>
      </w:r>
    </w:p>
    <w:p>
      <w:pPr>
        <w:snapToGrid w:val="0"/>
        <w:spacing w:line="400" w:lineRule="exact"/>
        <w:ind w:firstLine="440" w:firstLineChars="200"/>
        <w:rPr>
          <w:rFonts w:hint="eastAsia" w:ascii="宋体" w:hAnsi="宋体" w:cs="宋体"/>
          <w:szCs w:val="21"/>
        </w:rPr>
      </w:pPr>
      <w:r>
        <w:rPr>
          <w:rFonts w:hint="eastAsia" w:ascii="宋体" w:hAnsi="宋体" w:cs="宋体"/>
          <w:szCs w:val="21"/>
        </w:rPr>
        <w:t>(9)被暂停或取消投标资格的；</w:t>
      </w:r>
    </w:p>
    <w:p>
      <w:pPr>
        <w:snapToGrid w:val="0"/>
        <w:spacing w:line="400" w:lineRule="exact"/>
        <w:ind w:firstLine="440" w:firstLineChars="200"/>
        <w:rPr>
          <w:rFonts w:hint="eastAsia" w:ascii="宋体" w:hAnsi="宋体" w:cs="宋体"/>
          <w:szCs w:val="21"/>
        </w:rPr>
      </w:pPr>
      <w:r>
        <w:rPr>
          <w:rFonts w:hint="eastAsia" w:ascii="宋体" w:hAnsi="宋体" w:cs="宋体"/>
          <w:szCs w:val="21"/>
        </w:rPr>
        <w:t>(10)财产被接管或冻结的；</w:t>
      </w:r>
    </w:p>
    <w:p>
      <w:pPr>
        <w:snapToGrid w:val="0"/>
        <w:spacing w:line="400" w:lineRule="exact"/>
        <w:ind w:firstLine="440" w:firstLineChars="200"/>
        <w:rPr>
          <w:rFonts w:hint="eastAsia" w:ascii="宋体" w:hAnsi="宋体" w:cs="宋体"/>
          <w:szCs w:val="21"/>
        </w:rPr>
      </w:pPr>
      <w:r>
        <w:rPr>
          <w:rFonts w:hint="eastAsia" w:ascii="宋体" w:hAnsi="宋体" w:cs="宋体"/>
          <w:szCs w:val="21"/>
        </w:rPr>
        <w:t>(11)投标人单位负责人为同一人或者存在控股、管理关系的不同单位的；</w:t>
      </w:r>
    </w:p>
    <w:p>
      <w:pPr>
        <w:snapToGrid w:val="0"/>
        <w:spacing w:line="400" w:lineRule="exact"/>
        <w:ind w:firstLine="330" w:firstLineChars="150"/>
        <w:rPr>
          <w:rFonts w:hint="eastAsia" w:ascii="宋体" w:hAnsi="宋体" w:cs="宋体"/>
          <w:szCs w:val="21"/>
        </w:rPr>
      </w:pPr>
      <w:r>
        <w:rPr>
          <w:rFonts w:hint="eastAsia" w:ascii="宋体" w:hAnsi="宋体" w:cs="宋体"/>
          <w:szCs w:val="21"/>
        </w:rPr>
        <w:t>（12）投标人基本资格条件和特定资格条件中有一项及以上不符合要求的；</w:t>
      </w:r>
    </w:p>
    <w:p>
      <w:pPr>
        <w:snapToGrid w:val="0"/>
        <w:spacing w:line="400" w:lineRule="exact"/>
        <w:ind w:firstLine="440" w:firstLineChars="200"/>
        <w:rPr>
          <w:rFonts w:hint="eastAsia" w:ascii="宋体" w:hAnsi="宋体" w:cs="宋体"/>
          <w:szCs w:val="21"/>
        </w:rPr>
      </w:pPr>
      <w:r>
        <w:rPr>
          <w:rFonts w:hint="eastAsia" w:ascii="宋体" w:hAnsi="宋体" w:cs="宋体"/>
          <w:szCs w:val="21"/>
        </w:rPr>
        <w:t>（1</w:t>
      </w:r>
      <w:r>
        <w:rPr>
          <w:rFonts w:hint="eastAsia" w:cs="宋体"/>
          <w:szCs w:val="21"/>
          <w:lang w:val="en-US" w:eastAsia="zh-CN"/>
        </w:rPr>
        <w:t>3</w:t>
      </w:r>
      <w:r>
        <w:rPr>
          <w:rFonts w:hint="eastAsia" w:ascii="宋体" w:hAnsi="宋体" w:cs="宋体"/>
          <w:szCs w:val="21"/>
        </w:rPr>
        <w:t>）其它情形，经</w:t>
      </w:r>
      <w:r>
        <w:rPr>
          <w:rFonts w:hint="eastAsia" w:cs="宋体"/>
          <w:szCs w:val="21"/>
          <w:lang w:eastAsia="zh-CN"/>
        </w:rPr>
        <w:t>评标小组</w:t>
      </w:r>
      <w:r>
        <w:rPr>
          <w:rFonts w:hint="eastAsia" w:ascii="宋体" w:hAnsi="宋体" w:cs="宋体"/>
          <w:szCs w:val="21"/>
        </w:rPr>
        <w:t>委提出按无效投标处理，并经</w:t>
      </w:r>
      <w:r>
        <w:rPr>
          <w:rFonts w:hint="eastAsia" w:cs="宋体"/>
          <w:szCs w:val="21"/>
          <w:lang w:val="en-US" w:eastAsia="zh-CN"/>
        </w:rPr>
        <w:t>琅管委</w:t>
      </w:r>
      <w:r>
        <w:rPr>
          <w:rFonts w:hint="eastAsia" w:ascii="宋体" w:hAnsi="宋体" w:cs="宋体"/>
          <w:szCs w:val="21"/>
        </w:rPr>
        <w:t>监督部门核准的；</w:t>
      </w:r>
    </w:p>
    <w:p>
      <w:pPr>
        <w:snapToGrid w:val="0"/>
        <w:spacing w:line="400" w:lineRule="exact"/>
        <w:ind w:firstLine="440" w:firstLineChars="200"/>
        <w:rPr>
          <w:rFonts w:hint="eastAsia" w:ascii="宋体" w:hAnsi="宋体" w:cs="宋体"/>
          <w:szCs w:val="21"/>
        </w:rPr>
      </w:pPr>
      <w:r>
        <w:rPr>
          <w:rFonts w:hint="eastAsia" w:ascii="宋体" w:hAnsi="宋体" w:cs="宋体"/>
          <w:szCs w:val="21"/>
        </w:rPr>
        <w:t>（1</w:t>
      </w:r>
      <w:r>
        <w:rPr>
          <w:rFonts w:hint="eastAsia" w:cs="宋体"/>
          <w:szCs w:val="21"/>
          <w:lang w:val="en-US" w:eastAsia="zh-CN"/>
        </w:rPr>
        <w:t>4</w:t>
      </w:r>
      <w:r>
        <w:rPr>
          <w:rFonts w:hint="eastAsia" w:ascii="宋体" w:hAnsi="宋体" w:cs="宋体"/>
          <w:szCs w:val="21"/>
        </w:rPr>
        <w:t>）交易文件规定的其它无效投标情形。</w:t>
      </w:r>
    </w:p>
    <w:p>
      <w:pPr>
        <w:snapToGrid w:val="0"/>
        <w:spacing w:line="400" w:lineRule="exact"/>
        <w:rPr>
          <w:rFonts w:hint="eastAsia" w:ascii="宋体" w:hAnsi="宋体" w:cs="宋体"/>
          <w:szCs w:val="21"/>
        </w:rPr>
      </w:pPr>
      <w:r>
        <w:rPr>
          <w:rFonts w:hint="eastAsia" w:ascii="宋体" w:hAnsi="宋体" w:cs="宋体"/>
          <w:szCs w:val="21"/>
        </w:rPr>
        <w:t xml:space="preserve"> 4.3 投标人有下列情形之一的,符合性审查后其投标按无效投标处理：</w:t>
      </w:r>
    </w:p>
    <w:p>
      <w:pPr>
        <w:snapToGrid w:val="0"/>
        <w:spacing w:line="400" w:lineRule="exact"/>
        <w:ind w:firstLine="44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1</w:t>
      </w:r>
      <w:r>
        <w:rPr>
          <w:rFonts w:hint="eastAsia" w:ascii="宋体" w:hAnsi="宋体" w:cs="宋体"/>
          <w:szCs w:val="21"/>
        </w:rPr>
        <w:t>)投标文件签字、盖章不全，经</w:t>
      </w:r>
      <w:r>
        <w:rPr>
          <w:rFonts w:hint="eastAsia" w:cs="宋体"/>
          <w:szCs w:val="21"/>
          <w:lang w:eastAsia="zh-CN"/>
        </w:rPr>
        <w:t>评标小组</w:t>
      </w:r>
      <w:r>
        <w:rPr>
          <w:rFonts w:hint="eastAsia" w:ascii="宋体" w:hAnsi="宋体" w:cs="宋体"/>
          <w:szCs w:val="21"/>
        </w:rPr>
        <w:t>一致认定对开评标内容有实质性影响并的；</w:t>
      </w:r>
    </w:p>
    <w:p>
      <w:pPr>
        <w:snapToGrid w:val="0"/>
        <w:spacing w:line="400" w:lineRule="exact"/>
        <w:ind w:firstLine="440" w:firstLineChars="200"/>
        <w:rPr>
          <w:rFonts w:hint="eastAsia" w:ascii="宋体" w:hAnsi="宋体" w:cs="宋体"/>
          <w:szCs w:val="21"/>
          <w:lang w:eastAsia="zh-CN"/>
        </w:rPr>
      </w:pPr>
      <w:r>
        <w:rPr>
          <w:rFonts w:hint="eastAsia" w:ascii="宋体" w:hAnsi="宋体" w:cs="宋体"/>
          <w:szCs w:val="21"/>
        </w:rPr>
        <w:t>(</w:t>
      </w:r>
      <w:r>
        <w:rPr>
          <w:rFonts w:hint="eastAsia" w:ascii="宋体" w:hAnsi="宋体" w:cs="宋体"/>
          <w:szCs w:val="21"/>
          <w:lang w:val="en-US" w:eastAsia="zh-CN"/>
        </w:rPr>
        <w:t>2</w:t>
      </w:r>
      <w:r>
        <w:rPr>
          <w:rFonts w:hint="eastAsia" w:ascii="宋体" w:hAnsi="宋体" w:cs="宋体"/>
          <w:szCs w:val="21"/>
        </w:rPr>
        <w:t>)未按规定的格式填写，实质性内容不全或关键字迹模糊、无法辨认</w:t>
      </w:r>
      <w:r>
        <w:rPr>
          <w:rFonts w:hint="eastAsia" w:ascii="宋体" w:hAnsi="宋体" w:cs="宋体"/>
          <w:szCs w:val="21"/>
          <w:lang w:eastAsia="zh-CN"/>
        </w:rPr>
        <w:t>的；</w:t>
      </w:r>
    </w:p>
    <w:p>
      <w:pPr>
        <w:snapToGrid w:val="0"/>
        <w:spacing w:line="400" w:lineRule="exact"/>
        <w:ind w:firstLine="44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3</w:t>
      </w:r>
      <w:r>
        <w:rPr>
          <w:rFonts w:hint="eastAsia" w:ascii="宋体" w:hAnsi="宋体" w:cs="宋体"/>
          <w:szCs w:val="21"/>
        </w:rPr>
        <w:t>)同一投标人提交两个以上不同的投标文件或者投标报价，但交易文件规定提交备选方案的除外；</w:t>
      </w:r>
    </w:p>
    <w:p>
      <w:pPr>
        <w:snapToGrid w:val="0"/>
        <w:spacing w:line="400" w:lineRule="exact"/>
        <w:ind w:firstLine="44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4</w:t>
      </w:r>
      <w:r>
        <w:rPr>
          <w:rFonts w:hint="eastAsia" w:ascii="宋体" w:hAnsi="宋体" w:cs="宋体"/>
          <w:szCs w:val="21"/>
        </w:rPr>
        <w:t>)投标文件没有对交易文件的实质性要求和条件作出响应;</w:t>
      </w:r>
    </w:p>
    <w:p>
      <w:pPr>
        <w:snapToGrid w:val="0"/>
        <w:spacing w:line="400" w:lineRule="exact"/>
        <w:ind w:firstLine="44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5</w:t>
      </w:r>
      <w:r>
        <w:rPr>
          <w:rFonts w:hint="eastAsia" w:ascii="宋体" w:hAnsi="宋体" w:cs="宋体"/>
          <w:szCs w:val="21"/>
        </w:rPr>
        <w:t>)投标报价超出规定的投标限价或公布的采购预算的；注：投标人的投标报价</w:t>
      </w:r>
      <w:r>
        <w:rPr>
          <w:rFonts w:hint="eastAsia" w:cs="宋体"/>
          <w:szCs w:val="21"/>
          <w:lang w:eastAsia="zh-CN"/>
        </w:rPr>
        <w:t>（</w:t>
      </w:r>
      <w:r>
        <w:rPr>
          <w:rFonts w:hint="eastAsia" w:cs="宋体"/>
          <w:szCs w:val="21"/>
          <w:lang w:val="en-US" w:eastAsia="zh-CN"/>
        </w:rPr>
        <w:t>费率</w:t>
      </w:r>
      <w:r>
        <w:rPr>
          <w:rFonts w:hint="eastAsia" w:cs="宋体"/>
          <w:szCs w:val="21"/>
          <w:lang w:eastAsia="zh-CN"/>
        </w:rPr>
        <w:t>）</w:t>
      </w:r>
      <w:r>
        <w:rPr>
          <w:rFonts w:hint="eastAsia" w:ascii="宋体" w:hAnsi="宋体" w:cs="宋体"/>
          <w:szCs w:val="21"/>
        </w:rPr>
        <w:t>不得高于招标文件给定的最高限价</w:t>
      </w:r>
      <w:r>
        <w:rPr>
          <w:rFonts w:hint="eastAsia" w:cs="宋体"/>
          <w:szCs w:val="21"/>
          <w:lang w:eastAsia="zh-CN"/>
        </w:rPr>
        <w:t>（</w:t>
      </w:r>
      <w:r>
        <w:rPr>
          <w:rFonts w:hint="eastAsia" w:cs="宋体"/>
          <w:szCs w:val="21"/>
          <w:lang w:val="en-US" w:eastAsia="zh-CN"/>
        </w:rPr>
        <w:t>费率</w:t>
      </w:r>
      <w:r>
        <w:rPr>
          <w:rFonts w:hint="eastAsia" w:cs="宋体"/>
          <w:szCs w:val="21"/>
          <w:lang w:eastAsia="zh-CN"/>
        </w:rPr>
        <w:t>）</w:t>
      </w:r>
      <w:r>
        <w:rPr>
          <w:rFonts w:hint="eastAsia" w:ascii="宋体" w:hAnsi="宋体" w:cs="宋体"/>
          <w:szCs w:val="21"/>
        </w:rPr>
        <w:t>，否则</w:t>
      </w:r>
      <w:r>
        <w:rPr>
          <w:rFonts w:hint="eastAsia" w:cs="宋体"/>
          <w:szCs w:val="21"/>
          <w:lang w:eastAsia="zh-CN"/>
        </w:rPr>
        <w:t>，</w:t>
      </w:r>
      <w:r>
        <w:rPr>
          <w:rFonts w:hint="eastAsia" w:ascii="宋体" w:hAnsi="宋体" w:cs="宋体"/>
          <w:szCs w:val="21"/>
        </w:rPr>
        <w:t>其投标文件将按无效投标处理。</w:t>
      </w:r>
    </w:p>
    <w:p>
      <w:pPr>
        <w:keepNext w:val="0"/>
        <w:keepLines w:val="0"/>
        <w:pageBreakBefore w:val="0"/>
        <w:kinsoku/>
        <w:wordWrap/>
        <w:overflowPunct/>
        <w:topLinePunct w:val="0"/>
        <w:autoSpaceDE w:val="0"/>
        <w:autoSpaceDN w:val="0"/>
        <w:bidi w:val="0"/>
        <w:adjustRightInd/>
        <w:snapToGrid w:val="0"/>
        <w:spacing w:line="360" w:lineRule="auto"/>
        <w:ind w:firstLine="440" w:firstLineChars="200"/>
        <w:textAlignment w:val="auto"/>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6</w:t>
      </w:r>
      <w:r>
        <w:rPr>
          <w:rFonts w:hint="eastAsia" w:ascii="宋体" w:hAnsi="宋体" w:cs="宋体"/>
          <w:szCs w:val="21"/>
        </w:rPr>
        <w:t>)不按</w:t>
      </w:r>
      <w:r>
        <w:rPr>
          <w:rFonts w:hint="eastAsia" w:cs="宋体"/>
          <w:szCs w:val="21"/>
          <w:lang w:eastAsia="zh-CN"/>
        </w:rPr>
        <w:t>评标小组</w:t>
      </w:r>
      <w:r>
        <w:rPr>
          <w:rFonts w:hint="eastAsia" w:ascii="宋体" w:hAnsi="宋体" w:cs="宋体"/>
          <w:szCs w:val="21"/>
        </w:rPr>
        <w:t>要求澄清、说明或补正的，或者</w:t>
      </w:r>
      <w:r>
        <w:rPr>
          <w:rFonts w:hint="eastAsia" w:cs="宋体"/>
          <w:szCs w:val="21"/>
          <w:lang w:eastAsia="zh-CN"/>
        </w:rPr>
        <w:t>评标小组</w:t>
      </w:r>
      <w:r>
        <w:rPr>
          <w:rFonts w:hint="eastAsia" w:ascii="宋体" w:hAnsi="宋体" w:cs="宋体"/>
          <w:szCs w:val="21"/>
        </w:rPr>
        <w:t>根据交易文件的规定对交易文件的计算错误进行修正后，投标人不接受修正的投标报价的。</w:t>
      </w:r>
    </w:p>
    <w:p>
      <w:pPr>
        <w:keepNext w:val="0"/>
        <w:keepLines w:val="0"/>
        <w:pageBreakBefore w:val="0"/>
        <w:kinsoku/>
        <w:wordWrap/>
        <w:overflowPunct/>
        <w:topLinePunct w:val="0"/>
        <w:autoSpaceDE w:val="0"/>
        <w:autoSpaceDN w:val="0"/>
        <w:bidi w:val="0"/>
        <w:adjustRightInd/>
        <w:snapToGrid w:val="0"/>
        <w:spacing w:line="360" w:lineRule="auto"/>
        <w:ind w:firstLine="440" w:firstLineChars="200"/>
        <w:textAlignment w:val="auto"/>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7</w:t>
      </w:r>
      <w:r>
        <w:rPr>
          <w:rFonts w:hint="eastAsia" w:ascii="宋体" w:hAnsi="宋体" w:cs="宋体"/>
          <w:szCs w:val="21"/>
        </w:rPr>
        <w:t>）其它情形，经</w:t>
      </w:r>
      <w:r>
        <w:rPr>
          <w:rFonts w:hint="eastAsia" w:cs="宋体"/>
          <w:szCs w:val="21"/>
          <w:lang w:eastAsia="zh-CN"/>
        </w:rPr>
        <w:t>评标小组</w:t>
      </w:r>
      <w:r>
        <w:rPr>
          <w:rFonts w:hint="eastAsia" w:ascii="宋体" w:hAnsi="宋体" w:cs="宋体"/>
          <w:szCs w:val="21"/>
        </w:rPr>
        <w:t>委提出按无效投标处理；</w:t>
      </w:r>
    </w:p>
    <w:p>
      <w:pPr>
        <w:keepNext w:val="0"/>
        <w:keepLines w:val="0"/>
        <w:pageBreakBefore w:val="0"/>
        <w:widowControl/>
        <w:shd w:val="clear" w:color="auto"/>
        <w:kinsoku/>
        <w:wordWrap/>
        <w:overflowPunct/>
        <w:topLinePunct w:val="0"/>
        <w:autoSpaceDE w:val="0"/>
        <w:autoSpaceDN w:val="0"/>
        <w:bidi w:val="0"/>
        <w:adjustRightInd/>
        <w:spacing w:line="360" w:lineRule="auto"/>
        <w:ind w:firstLine="440" w:firstLineChars="200"/>
        <w:jc w:val="left"/>
        <w:textAlignment w:val="auto"/>
        <w:rPr>
          <w:rFonts w:ascii="Tahoma" w:hAnsi="Tahoma" w:eastAsia="Tahoma" w:cs="Tahoma"/>
          <w:color w:val="auto"/>
          <w:szCs w:val="21"/>
        </w:rPr>
      </w:pPr>
      <w:r>
        <w:rPr>
          <w:rFonts w:hint="eastAsia" w:ascii="宋体" w:hAnsi="宋体" w:cs="宋体"/>
          <w:color w:val="auto"/>
          <w:szCs w:val="21"/>
        </w:rPr>
        <w:t>（</w:t>
      </w:r>
      <w:r>
        <w:rPr>
          <w:rFonts w:hint="eastAsia" w:ascii="宋体" w:hAnsi="宋体" w:cs="宋体"/>
          <w:color w:val="auto"/>
          <w:szCs w:val="21"/>
          <w:lang w:val="en-US" w:eastAsia="zh-CN"/>
        </w:rPr>
        <w:t>8</w:t>
      </w:r>
      <w:r>
        <w:rPr>
          <w:rFonts w:hint="eastAsia" w:ascii="宋体" w:hAnsi="宋体" w:cs="宋体"/>
          <w:color w:val="auto"/>
          <w:szCs w:val="21"/>
        </w:rPr>
        <w:t>）</w:t>
      </w:r>
      <w:r>
        <w:rPr>
          <w:rFonts w:ascii="Tahoma" w:hAnsi="Tahoma" w:eastAsia="Tahoma" w:cs="Tahoma"/>
          <w:color w:val="auto"/>
          <w:kern w:val="0"/>
          <w:szCs w:val="21"/>
          <w:shd w:val="clear" w:color="auto" w:fill="FFFFFF"/>
          <w:lang w:bidi="ar"/>
        </w:rPr>
        <w:t>未按照</w:t>
      </w:r>
      <w:r>
        <w:rPr>
          <w:rFonts w:hint="eastAsia" w:ascii="Tahoma" w:hAnsi="Tahoma" w:eastAsia="宋体" w:cs="Tahoma"/>
          <w:color w:val="auto"/>
          <w:kern w:val="0"/>
          <w:szCs w:val="21"/>
          <w:shd w:val="clear" w:color="auto" w:fill="FFFFFF"/>
          <w:lang w:eastAsia="zh-CN" w:bidi="ar"/>
        </w:rPr>
        <w:t>交易</w:t>
      </w:r>
      <w:r>
        <w:rPr>
          <w:rFonts w:ascii="Tahoma" w:hAnsi="Tahoma" w:eastAsia="Tahoma" w:cs="Tahoma"/>
          <w:color w:val="auto"/>
          <w:kern w:val="0"/>
          <w:szCs w:val="21"/>
          <w:shd w:val="clear" w:color="auto" w:fill="FFFFFF"/>
          <w:lang w:bidi="ar"/>
        </w:rPr>
        <w:t>文件的规定提交投标保证金的；</w:t>
      </w:r>
    </w:p>
    <w:p>
      <w:pPr>
        <w:keepNext w:val="0"/>
        <w:keepLines w:val="0"/>
        <w:pageBreakBefore w:val="0"/>
        <w:widowControl/>
        <w:shd w:val="clear" w:color="auto"/>
        <w:kinsoku/>
        <w:wordWrap/>
        <w:overflowPunct/>
        <w:topLinePunct w:val="0"/>
        <w:autoSpaceDE w:val="0"/>
        <w:autoSpaceDN w:val="0"/>
        <w:bidi w:val="0"/>
        <w:adjustRightInd/>
        <w:spacing w:line="360" w:lineRule="auto"/>
        <w:ind w:firstLine="440" w:firstLineChars="200"/>
        <w:jc w:val="left"/>
        <w:textAlignment w:val="auto"/>
        <w:rPr>
          <w:rFonts w:ascii="Tahoma" w:hAnsi="Tahoma" w:eastAsia="Tahoma" w:cs="Tahoma"/>
          <w:color w:val="auto"/>
          <w:szCs w:val="21"/>
        </w:rPr>
      </w:pPr>
      <w:r>
        <w:rPr>
          <w:rFonts w:hint="eastAsia" w:ascii="宋体" w:hAnsi="宋体" w:cs="宋体"/>
          <w:color w:val="auto"/>
          <w:szCs w:val="21"/>
        </w:rPr>
        <w:t>（</w:t>
      </w:r>
      <w:r>
        <w:rPr>
          <w:rFonts w:hint="eastAsia" w:ascii="宋体" w:hAnsi="宋体" w:cs="宋体"/>
          <w:color w:val="auto"/>
          <w:szCs w:val="21"/>
          <w:lang w:val="en-US" w:eastAsia="zh-CN"/>
        </w:rPr>
        <w:t>9</w:t>
      </w:r>
      <w:r>
        <w:rPr>
          <w:rFonts w:hint="eastAsia" w:ascii="宋体" w:hAnsi="宋体" w:cs="宋体"/>
          <w:color w:val="auto"/>
          <w:szCs w:val="21"/>
        </w:rPr>
        <w:t>）</w:t>
      </w:r>
      <w:r>
        <w:rPr>
          <w:rFonts w:ascii="Tahoma" w:hAnsi="Tahoma" w:eastAsia="Tahoma" w:cs="Tahoma"/>
          <w:color w:val="auto"/>
          <w:kern w:val="0"/>
          <w:szCs w:val="21"/>
          <w:shd w:val="clear" w:color="auto" w:fill="FFFFFF"/>
          <w:lang w:bidi="ar"/>
        </w:rPr>
        <w:t>投标文件含有</w:t>
      </w:r>
      <w:r>
        <w:rPr>
          <w:rFonts w:hint="eastAsia" w:ascii="Tahoma" w:hAnsi="Tahoma" w:cs="Tahoma"/>
          <w:color w:val="auto"/>
          <w:kern w:val="0"/>
          <w:szCs w:val="21"/>
          <w:shd w:val="clear" w:color="auto" w:fill="FFFFFF"/>
          <w:lang w:val="en-US" w:eastAsia="zh-CN" w:bidi="ar"/>
        </w:rPr>
        <w:t>招标</w:t>
      </w:r>
      <w:r>
        <w:rPr>
          <w:rFonts w:ascii="Tahoma" w:hAnsi="Tahoma" w:eastAsia="Tahoma" w:cs="Tahoma"/>
          <w:color w:val="auto"/>
          <w:kern w:val="0"/>
          <w:szCs w:val="21"/>
          <w:shd w:val="clear" w:color="auto" w:fill="FFFFFF"/>
          <w:lang w:bidi="ar"/>
        </w:rPr>
        <w:t>人不能接受的附加条件的;</w:t>
      </w:r>
    </w:p>
    <w:p>
      <w:pPr>
        <w:keepNext w:val="0"/>
        <w:keepLines w:val="0"/>
        <w:pageBreakBefore w:val="0"/>
        <w:widowControl w:val="0"/>
        <w:tabs>
          <w:tab w:val="left" w:pos="1123"/>
        </w:tabs>
        <w:kinsoku/>
        <w:wordWrap/>
        <w:overflowPunct/>
        <w:topLinePunct w:val="0"/>
        <w:autoSpaceDE w:val="0"/>
        <w:autoSpaceDN w:val="0"/>
        <w:bidi w:val="0"/>
        <w:adjustRightInd/>
        <w:snapToGrid w:val="0"/>
        <w:spacing w:line="360" w:lineRule="auto"/>
        <w:ind w:firstLine="440" w:firstLineChars="200"/>
        <w:textAlignment w:val="auto"/>
        <w:rPr>
          <w:rFonts w:hint="eastAsia" w:ascii="宋体" w:hAnsi="宋体" w:cs="宋体"/>
          <w:szCs w:val="21"/>
        </w:rPr>
      </w:pPr>
      <w:r>
        <w:rPr>
          <w:rFonts w:hint="eastAsia" w:ascii="宋体" w:hAnsi="宋体" w:cs="宋体"/>
          <w:szCs w:val="21"/>
        </w:rPr>
        <w:t>（11）交易文件规定的其它无效投标情形。</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rPr>
      </w:pPr>
      <w:r>
        <w:rPr>
          <w:rFonts w:hint="eastAsia"/>
        </w:rPr>
        <w:t>4.4 投标人有下列情形之一的, 详细评审后其投标按无效投标处理：</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rPr>
      </w:pPr>
      <w:r>
        <w:rPr>
          <w:rFonts w:hint="eastAsia"/>
        </w:rPr>
        <w:t>(1)投标产品不符合必须强制执行的国家标准的；</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rPr>
      </w:pPr>
      <w:r>
        <w:rPr>
          <w:rFonts w:hint="eastAsia"/>
        </w:rPr>
        <w:t>(2)投标人有串通投标、弄虚作假、行贿等违法行为；</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rPr>
      </w:pPr>
      <w:r>
        <w:rPr>
          <w:rFonts w:hint="eastAsia"/>
        </w:rPr>
        <w:t>(3)投标文件含有违反国家法律、法规的内容，或附有招标人不能接受的条件的；</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rPr>
      </w:pPr>
      <w:r>
        <w:rPr>
          <w:rFonts w:hint="eastAsia"/>
        </w:rPr>
        <w:t>（4）在同一项目（或同一标段）中有多个投标人有效投标报价接近最高限价，且</w:t>
      </w:r>
      <w:r>
        <w:rPr>
          <w:rFonts w:hint="eastAsia"/>
          <w:lang w:eastAsia="zh-CN"/>
        </w:rPr>
        <w:t>评标小组</w:t>
      </w:r>
      <w:r>
        <w:rPr>
          <w:rFonts w:hint="eastAsia"/>
        </w:rPr>
        <w:t>认为报价出现异常的，可以宣布其投标无效；</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pPr>
      <w:r>
        <w:rPr>
          <w:rFonts w:hint="eastAsia"/>
        </w:rPr>
        <w:t>（</w:t>
      </w:r>
      <w:r>
        <w:rPr>
          <w:rFonts w:hint="eastAsia"/>
          <w:lang w:val="en-US" w:eastAsia="zh-CN"/>
        </w:rPr>
        <w:t>5</w:t>
      </w:r>
      <w:r>
        <w:rPr>
          <w:rFonts w:hint="eastAsia"/>
        </w:rPr>
        <w:t>）</w:t>
      </w:r>
      <w:r>
        <w:t>拒不确认</w:t>
      </w:r>
      <w:r>
        <w:rPr>
          <w:rFonts w:hint="eastAsia"/>
          <w:lang w:eastAsia="zh-CN"/>
        </w:rPr>
        <w:t>评标小组</w:t>
      </w:r>
      <w:r>
        <w:t>评审修正的投标无效</w:t>
      </w:r>
      <w:r>
        <w:rPr>
          <w:rFonts w:hint="eastAsia"/>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rPr>
      </w:pPr>
      <w:r>
        <w:rPr>
          <w:rFonts w:hint="eastAsia"/>
        </w:rPr>
        <w:t>（</w:t>
      </w:r>
      <w:r>
        <w:rPr>
          <w:rFonts w:hint="eastAsia"/>
          <w:lang w:val="en-US" w:eastAsia="zh-CN"/>
        </w:rPr>
        <w:t>6</w:t>
      </w:r>
      <w:r>
        <w:rPr>
          <w:rFonts w:hint="eastAsia"/>
        </w:rPr>
        <w:t>）其它情形，经</w:t>
      </w:r>
      <w:r>
        <w:rPr>
          <w:rFonts w:hint="eastAsia"/>
          <w:lang w:eastAsia="zh-CN"/>
        </w:rPr>
        <w:t>评标小组</w:t>
      </w:r>
      <w:r>
        <w:rPr>
          <w:rFonts w:hint="eastAsia"/>
        </w:rPr>
        <w:t>委提出按无效投标处理；</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sz w:val="14"/>
        </w:rPr>
      </w:pPr>
      <w:r>
        <w:rPr>
          <w:rFonts w:hint="eastAsia"/>
        </w:rPr>
        <w:t>（</w:t>
      </w:r>
      <w:r>
        <w:rPr>
          <w:rFonts w:hint="eastAsia"/>
          <w:lang w:val="en-US" w:eastAsia="zh-CN"/>
        </w:rPr>
        <w:t>7</w:t>
      </w:r>
      <w:r>
        <w:rPr>
          <w:rFonts w:hint="eastAsia"/>
        </w:rPr>
        <w:t>）交易文件规定的其它无效投标情形。</w:t>
      </w:r>
    </w:p>
    <w:p>
      <w:pPr>
        <w:pStyle w:val="3"/>
        <w:numPr>
          <w:ilvl w:val="0"/>
          <w:numId w:val="0"/>
        </w:numPr>
        <w:bidi w:val="0"/>
        <w:ind w:right="0" w:rightChars="0"/>
        <w:jc w:val="both"/>
        <w:rPr>
          <w:rFonts w:hint="eastAsia"/>
          <w:lang w:val="en-US" w:eastAsia="zh-CN"/>
        </w:rPr>
        <w:sectPr>
          <w:pgSz w:w="11910" w:h="16850"/>
          <w:pgMar w:top="1440" w:right="1800" w:bottom="1440" w:left="1800" w:header="0" w:footer="636" w:gutter="0"/>
          <w:cols w:space="720" w:num="1"/>
        </w:sectPr>
      </w:pPr>
      <w:bookmarkStart w:id="37" w:name="_bookmark9"/>
      <w:bookmarkEnd w:id="37"/>
    </w:p>
    <w:p>
      <w:pPr>
        <w:pStyle w:val="3"/>
        <w:numPr>
          <w:ilvl w:val="0"/>
          <w:numId w:val="2"/>
        </w:numPr>
        <w:bidi w:val="0"/>
      </w:pPr>
      <w:bookmarkStart w:id="38" w:name="_Toc20351"/>
      <w:r>
        <w:t>技术规范</w:t>
      </w:r>
      <w:bookmarkEnd w:id="38"/>
      <w:r>
        <w:t xml:space="preserve"> </w:t>
      </w:r>
    </w:p>
    <w:p>
      <w:pPr>
        <w:numPr>
          <w:ilvl w:val="0"/>
          <w:numId w:val="0"/>
        </w:numPr>
        <w:ind w:right="0" w:rightChars="0"/>
      </w:pPr>
    </w:p>
    <w:p>
      <w:pPr>
        <w:pStyle w:val="2"/>
        <w:bidi w:val="0"/>
      </w:pPr>
      <w:bookmarkStart w:id="39" w:name="（1） 监理规范"/>
      <w:bookmarkEnd w:id="39"/>
      <w:r>
        <w:t xml:space="preserve">（1） 监理规范 </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pPr>
      <w:r>
        <w:t xml:space="preserve">执行《公路工程施工监理规范》（JTG G10—2006），该规范是中华人民共和国行业标准，交通运输部以“交通部公告 2006 年第 40 号”发布，由人民交通出版社出版。此规范为本工程施工监理合同的重要组成部分。 </w:t>
      </w:r>
    </w:p>
    <w:p>
      <w:pPr>
        <w:pStyle w:val="18"/>
      </w:pPr>
    </w:p>
    <w:p>
      <w:pPr>
        <w:pStyle w:val="2"/>
        <w:bidi w:val="0"/>
      </w:pPr>
      <w:bookmarkStart w:id="40" w:name="（2）工程专用规范"/>
      <w:bookmarkEnd w:id="40"/>
      <w:r>
        <w:t xml:space="preserve">   （2）工程专用规范 </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pPr>
      <w:r>
        <w:t xml:space="preserve">本规程由招标人根据工程的实际情况，在《公路工程施工监理规范》（JTG G10—2006）的基础上自行编制，但不得与国家、交通运输部及有关部门的法规、标准、规范等矛盾。 </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pPr>
      <w:r>
        <w:t>针对本工程或仅在本地区实行的与监理工作有关的管理办法、制度应一并提供给投标人。</w:t>
      </w:r>
      <w:bookmarkStart w:id="41" w:name="（3）技术规范"/>
      <w:bookmarkEnd w:id="41"/>
      <w:bookmarkStart w:id="42" w:name="_bookmark11"/>
      <w:bookmarkEnd w:id="42"/>
    </w:p>
    <w:p>
      <w:pPr>
        <w:pStyle w:val="2"/>
        <w:bidi w:val="0"/>
      </w:pPr>
      <w:r>
        <w:t xml:space="preserve">（3）技术规范 </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pPr>
      <w:r>
        <w:t xml:space="preserve">技术规范包括以下内容： </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pPr>
      <w:r>
        <w:t xml:space="preserve">（1）本工程施工合同段招标文件中的技术规范； </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lang w:val="en-US" w:eastAsia="zh-CN"/>
        </w:rPr>
        <w:sectPr>
          <w:pgSz w:w="11910" w:h="16850"/>
          <w:pgMar w:top="1440" w:right="1800" w:bottom="1440" w:left="1800" w:header="0" w:footer="636" w:gutter="0"/>
          <w:cols w:space="720" w:num="1"/>
        </w:sectPr>
      </w:pPr>
      <w:r>
        <w:t>（2）所有与工程施工有关的国家现行的公路建设标准、规范、规程及相关文件。</w:t>
      </w:r>
    </w:p>
    <w:p>
      <w:pPr>
        <w:pStyle w:val="3"/>
        <w:bidi w:val="0"/>
        <w:rPr>
          <w:rFonts w:hint="default" w:eastAsia="宋体"/>
          <w:lang w:val="en-US" w:eastAsia="zh-CN"/>
        </w:rPr>
      </w:pPr>
      <w:bookmarkStart w:id="43" w:name="_Toc23428"/>
      <w:r>
        <w:rPr>
          <w:rFonts w:hint="eastAsia"/>
          <w:lang w:val="en-US" w:eastAsia="zh-CN"/>
        </w:rPr>
        <w:t xml:space="preserve">第五章 </w:t>
      </w:r>
      <w:r>
        <w:t>合同条款</w:t>
      </w:r>
      <w:bookmarkStart w:id="44" w:name="_bookmark10"/>
      <w:bookmarkEnd w:id="44"/>
      <w:bookmarkStart w:id="45" w:name="一、合同通用条款"/>
      <w:bookmarkEnd w:id="45"/>
      <w:r>
        <w:rPr>
          <w:rFonts w:hint="eastAsia"/>
          <w:lang w:val="en-US" w:eastAsia="zh-CN"/>
        </w:rPr>
        <w:t>及格式</w:t>
      </w:r>
      <w:bookmarkEnd w:id="43"/>
    </w:p>
    <w:p>
      <w:pPr>
        <w:bidi w:val="0"/>
      </w:pPr>
    </w:p>
    <w:p>
      <w:pPr>
        <w:bidi w:val="0"/>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bidi w:val="0"/>
        <w:rPr>
          <w:rFonts w:hint="eastAsia"/>
        </w:rPr>
      </w:pPr>
    </w:p>
    <w:p>
      <w:pPr>
        <w:bidi w:val="0"/>
        <w:jc w:val="center"/>
      </w:pPr>
      <w:bookmarkStart w:id="46" w:name="_Toc346610483"/>
      <w:r>
        <w:rPr>
          <w:rFonts w:hint="eastAsia"/>
          <w:b/>
          <w:bCs/>
          <w:sz w:val="72"/>
          <w:szCs w:val="72"/>
        </w:rPr>
        <w:t>建设工程委托监理合同</w:t>
      </w:r>
      <w:bookmarkEnd w:id="46"/>
    </w:p>
    <w:p>
      <w:pPr>
        <w:rPr>
          <w:rFonts w:ascii="宋体" w:hAnsi="宋体"/>
        </w:rPr>
      </w:pPr>
    </w:p>
    <w:p>
      <w:pPr>
        <w:spacing w:line="320" w:lineRule="atLeast"/>
        <w:jc w:val="both"/>
        <w:rPr>
          <w:rFonts w:hint="eastAsia" w:ascii="宋体" w:hAnsi="宋体"/>
          <w:color w:val="000000"/>
          <w:sz w:val="24"/>
        </w:rPr>
      </w:pPr>
    </w:p>
    <w:p>
      <w:pPr>
        <w:spacing w:line="320" w:lineRule="atLeast"/>
        <w:jc w:val="both"/>
        <w:rPr>
          <w:rFonts w:hint="eastAsia" w:ascii="宋体" w:hAnsi="宋体"/>
          <w:color w:val="000000"/>
          <w:sz w:val="24"/>
        </w:rPr>
      </w:pPr>
    </w:p>
    <w:p>
      <w:pPr>
        <w:spacing w:line="320" w:lineRule="atLeast"/>
        <w:rPr>
          <w:rFonts w:hint="eastAsia" w:ascii="宋体" w:hAnsi="宋体"/>
          <w:color w:val="000000"/>
          <w:sz w:val="24"/>
        </w:rPr>
      </w:pPr>
    </w:p>
    <w:p>
      <w:pPr>
        <w:pStyle w:val="18"/>
        <w:ind w:left="0" w:leftChars="0" w:firstLine="0" w:firstLineChars="0"/>
        <w:rPr>
          <w:rFonts w:hint="eastAsia"/>
        </w:rPr>
      </w:pPr>
    </w:p>
    <w:p>
      <w:pPr>
        <w:spacing w:line="320" w:lineRule="atLeast"/>
        <w:rPr>
          <w:rFonts w:hint="eastAsia" w:ascii="宋体" w:hAnsi="宋体"/>
          <w:color w:val="000000"/>
          <w:sz w:val="24"/>
        </w:rPr>
      </w:pPr>
    </w:p>
    <w:p>
      <w:pPr>
        <w:pStyle w:val="18"/>
        <w:ind w:left="0" w:leftChars="0" w:firstLine="0" w:firstLineChars="0"/>
        <w:rPr>
          <w:rFonts w:hint="eastAsia" w:ascii="宋体" w:hAnsi="宋体"/>
          <w:b/>
          <w:color w:val="000000"/>
          <w:sz w:val="32"/>
        </w:rPr>
      </w:pPr>
    </w:p>
    <w:p>
      <w:pPr>
        <w:pStyle w:val="18"/>
        <w:ind w:left="0" w:leftChars="0" w:firstLine="0" w:firstLineChars="0"/>
        <w:rPr>
          <w:rFonts w:hint="eastAsia" w:ascii="宋体" w:hAnsi="宋体"/>
          <w:b/>
          <w:color w:val="000000"/>
          <w:sz w:val="32"/>
        </w:rPr>
      </w:pPr>
    </w:p>
    <w:p>
      <w:pPr>
        <w:spacing w:line="320" w:lineRule="atLeast"/>
        <w:rPr>
          <w:rFonts w:hint="eastAsia" w:ascii="宋体" w:hAnsi="宋体"/>
          <w:b/>
          <w:color w:val="000000"/>
          <w:sz w:val="32"/>
        </w:rPr>
      </w:pPr>
    </w:p>
    <w:p>
      <w:pPr>
        <w:spacing w:line="320" w:lineRule="atLeast"/>
        <w:rPr>
          <w:rFonts w:hint="eastAsia" w:ascii="宋体" w:hAnsi="宋体"/>
          <w:b/>
          <w:color w:val="000000"/>
          <w:sz w:val="32"/>
        </w:rPr>
      </w:pPr>
    </w:p>
    <w:p>
      <w:pPr>
        <w:pStyle w:val="18"/>
        <w:ind w:left="0" w:leftChars="0" w:firstLine="0" w:firstLineChars="0"/>
        <w:rPr>
          <w:rFonts w:hint="eastAsia"/>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b/>
          <w:color w:val="000000"/>
          <w:sz w:val="32"/>
        </w:rPr>
      </w:pPr>
    </w:p>
    <w:p>
      <w:pPr>
        <w:bidi w:val="0"/>
        <w:jc w:val="center"/>
        <w:rPr>
          <w:rFonts w:hint="eastAsia"/>
          <w:sz w:val="32"/>
          <w:szCs w:val="32"/>
        </w:rPr>
      </w:pPr>
      <w:bookmarkStart w:id="47" w:name="_Toc27819"/>
      <w:bookmarkStart w:id="48" w:name="_Toc31223"/>
      <w:r>
        <w:rPr>
          <w:rFonts w:hint="eastAsia"/>
          <w:sz w:val="32"/>
          <w:szCs w:val="32"/>
        </w:rPr>
        <w:t>中华人民共和国建设部</w:t>
      </w:r>
      <w:bookmarkEnd w:id="47"/>
      <w:bookmarkEnd w:id="48"/>
    </w:p>
    <w:p>
      <w:pPr>
        <w:bidi w:val="0"/>
        <w:jc w:val="center"/>
        <w:rPr>
          <w:rFonts w:hint="eastAsia"/>
          <w:sz w:val="32"/>
          <w:szCs w:val="32"/>
        </w:rPr>
      </w:pPr>
      <w:bookmarkStart w:id="49" w:name="_Toc12171"/>
      <w:bookmarkStart w:id="50" w:name="_Toc13060"/>
      <w:r>
        <w:rPr>
          <w:rFonts w:hint="eastAsia"/>
          <w:sz w:val="32"/>
          <w:szCs w:val="32"/>
        </w:rPr>
        <w:t>国家工商行政管理局 　    制定</w:t>
      </w:r>
      <w:bookmarkEnd w:id="49"/>
      <w:bookmarkEnd w:id="50"/>
    </w:p>
    <w:p>
      <w:pPr>
        <w:bidi w:val="0"/>
        <w:jc w:val="center"/>
        <w:rPr>
          <w:rFonts w:hint="eastAsia"/>
          <w:sz w:val="32"/>
          <w:szCs w:val="32"/>
        </w:rPr>
      </w:pPr>
    </w:p>
    <w:p>
      <w:pPr>
        <w:bidi w:val="0"/>
        <w:jc w:val="center"/>
        <w:rPr>
          <w:rFonts w:hint="eastAsia"/>
          <w:sz w:val="32"/>
          <w:szCs w:val="32"/>
        </w:rPr>
      </w:pPr>
      <w:bookmarkStart w:id="51" w:name="_Toc1709"/>
      <w:bookmarkStart w:id="52" w:name="_Toc25825"/>
      <w:r>
        <w:rPr>
          <w:rFonts w:hint="eastAsia"/>
          <w:sz w:val="32"/>
          <w:szCs w:val="32"/>
        </w:rPr>
        <w:t>监制部门： 安  徽  省  建 设 厅</w:t>
      </w:r>
      <w:bookmarkEnd w:id="51"/>
      <w:bookmarkEnd w:id="52"/>
    </w:p>
    <w:p>
      <w:pPr>
        <w:bidi w:val="0"/>
        <w:jc w:val="center"/>
        <w:rPr>
          <w:rFonts w:hint="eastAsia"/>
          <w:sz w:val="32"/>
          <w:szCs w:val="32"/>
        </w:rPr>
      </w:pPr>
      <w:bookmarkStart w:id="53" w:name="_Toc28790"/>
      <w:bookmarkStart w:id="54" w:name="_Toc7146"/>
      <w:r>
        <w:rPr>
          <w:rFonts w:hint="eastAsia"/>
          <w:sz w:val="32"/>
          <w:szCs w:val="32"/>
        </w:rPr>
        <w:t>安徽省工商行政管理局</w:t>
      </w:r>
      <w:bookmarkEnd w:id="53"/>
      <w:bookmarkEnd w:id="54"/>
      <w:bookmarkStart w:id="55" w:name="_Toc346610484"/>
    </w:p>
    <w:p>
      <w:pPr>
        <w:bidi w:val="0"/>
        <w:rPr>
          <w:rFonts w:hint="eastAsia"/>
        </w:rPr>
      </w:pPr>
    </w:p>
    <w:p>
      <w:pPr>
        <w:bidi w:val="0"/>
        <w:rPr>
          <w:rFonts w:hint="eastAsia"/>
        </w:rPr>
      </w:pPr>
    </w:p>
    <w:p>
      <w:pPr>
        <w:bidi w:val="0"/>
        <w:rPr>
          <w:rFonts w:hint="eastAsia"/>
        </w:rPr>
      </w:pPr>
    </w:p>
    <w:p>
      <w:pPr>
        <w:rPr>
          <w:rFonts w:hint="eastAsia"/>
        </w:rPr>
      </w:pPr>
    </w:p>
    <w:p>
      <w:pPr>
        <w:bidi w:val="0"/>
        <w:rPr>
          <w:rFonts w:hint="eastAsia"/>
        </w:rPr>
      </w:pPr>
    </w:p>
    <w:p>
      <w:pPr>
        <w:pStyle w:val="18"/>
        <w:rPr>
          <w:rFonts w:hint="eastAsia"/>
        </w:rPr>
      </w:pPr>
    </w:p>
    <w:p>
      <w:pPr>
        <w:bidi w:val="0"/>
        <w:rPr>
          <w:rFonts w:hint="eastAsia"/>
        </w:rPr>
      </w:pP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431"/>
        <w:jc w:val="center"/>
        <w:textAlignment w:val="auto"/>
        <w:outlineLvl w:val="0"/>
        <w:rPr>
          <w:rFonts w:hint="eastAsia" w:ascii="宋体" w:hAnsi="宋体" w:cs="宋体"/>
          <w:sz w:val="28"/>
          <w:szCs w:val="28"/>
        </w:rPr>
      </w:pPr>
      <w:bookmarkStart w:id="56" w:name="_Toc13845"/>
      <w:r>
        <w:rPr>
          <w:rFonts w:hint="eastAsia" w:ascii="宋体" w:hAnsi="宋体" w:cs="宋体"/>
          <w:sz w:val="28"/>
          <w:szCs w:val="28"/>
        </w:rPr>
        <w:t>第一部分 建设工程委托监理合同</w:t>
      </w:r>
      <w:bookmarkEnd w:id="55"/>
      <w:bookmarkEnd w:id="56"/>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cs="宋体"/>
          <w:color w:val="000000"/>
          <w:sz w:val="24"/>
          <w:szCs w:val="24"/>
        </w:rPr>
      </w:pPr>
      <w:r>
        <w:rPr>
          <w:rFonts w:hint="eastAsia" w:ascii="宋体" w:hAnsi="宋体" w:cs="宋体"/>
          <w:color w:val="000000"/>
          <w:sz w:val="24"/>
          <w:szCs w:val="24"/>
        </w:rPr>
        <w:t xml:space="preserve">     委托人</w:t>
      </w:r>
      <w:r>
        <w:rPr>
          <w:rFonts w:hint="eastAsia" w:ascii="宋体" w:hAnsi="宋体" w:cs="宋体"/>
          <w:color w:val="000000"/>
          <w:sz w:val="24"/>
          <w:szCs w:val="24"/>
          <w:u w:val="single"/>
        </w:rPr>
        <w:t xml:space="preserve">  </w:t>
      </w:r>
      <w:bookmarkStart w:id="57" w:name="OLE_LINK6"/>
      <w:r>
        <w:rPr>
          <w:rFonts w:hint="eastAsia" w:ascii="宋体" w:hAnsi="宋体" w:cs="宋体"/>
          <w:color w:val="000000"/>
          <w:sz w:val="24"/>
          <w:szCs w:val="24"/>
          <w:u w:val="single"/>
        </w:rPr>
        <w:t>安徽省琅琊山旅游发展有限公司</w:t>
      </w:r>
      <w:bookmarkEnd w:id="57"/>
      <w:r>
        <w:rPr>
          <w:rFonts w:hint="eastAsia" w:ascii="宋体" w:hAnsi="宋体" w:cs="宋体"/>
          <w:color w:val="000000"/>
          <w:sz w:val="24"/>
          <w:szCs w:val="24"/>
          <w:u w:val="single"/>
        </w:rPr>
        <w:t xml:space="preserve"> </w:t>
      </w:r>
      <w:r>
        <w:rPr>
          <w:rFonts w:hint="eastAsia" w:ascii="宋体" w:hAnsi="宋体" w:cs="宋体"/>
          <w:color w:val="000000"/>
          <w:sz w:val="24"/>
          <w:szCs w:val="24"/>
        </w:rPr>
        <w:t>与监理人</w:t>
      </w:r>
      <w:r>
        <w:rPr>
          <w:rFonts w:hint="eastAsia" w:ascii="宋体" w:hAnsi="宋体" w:cs="宋体"/>
          <w:color w:val="000000"/>
          <w:sz w:val="24"/>
          <w:szCs w:val="24"/>
          <w:u w:val="single"/>
        </w:rPr>
        <w:t xml:space="preserve">  </w:t>
      </w:r>
      <w:r>
        <w:rPr>
          <w:rFonts w:hint="eastAsia" w:cs="宋体"/>
          <w:color w:val="000000"/>
          <w:sz w:val="24"/>
          <w:szCs w:val="24"/>
          <w:u w:val="single"/>
          <w:lang w:val="en-US" w:eastAsia="zh-CN"/>
        </w:rPr>
        <w:t xml:space="preserve">  </w:t>
      </w:r>
      <w:r>
        <w:rPr>
          <w:rFonts w:hint="eastAsia" w:ascii="宋体" w:hAnsi="宋体" w:cs="宋体"/>
          <w:b/>
          <w:color w:val="000000"/>
          <w:sz w:val="24"/>
          <w:szCs w:val="24"/>
          <w:u w:val="single"/>
        </w:rPr>
        <w:t xml:space="preserve">  </w:t>
      </w:r>
      <w:r>
        <w:rPr>
          <w:rFonts w:hint="eastAsia" w:ascii="宋体" w:hAnsi="宋体" w:cs="宋体"/>
          <w:color w:val="000000"/>
          <w:sz w:val="24"/>
          <w:szCs w:val="24"/>
        </w:rPr>
        <w:t>双方协商一致，签订本合同。</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cs="宋体"/>
          <w:color w:val="000000"/>
          <w:sz w:val="24"/>
          <w:szCs w:val="24"/>
        </w:rPr>
      </w:pPr>
      <w:r>
        <w:rPr>
          <w:rFonts w:hint="eastAsia" w:ascii="宋体" w:hAnsi="宋体" w:cs="宋体"/>
          <w:color w:val="000000"/>
          <w:sz w:val="24"/>
          <w:szCs w:val="24"/>
        </w:rPr>
        <w:t xml:space="preserve"> 一、委托人委托监理人监理的工程（以下</w:t>
      </w:r>
      <w:r>
        <w:rPr>
          <w:rFonts w:hint="eastAsia" w:cs="宋体"/>
          <w:color w:val="000000"/>
          <w:sz w:val="24"/>
          <w:szCs w:val="24"/>
          <w:lang w:val="en-US" w:eastAsia="zh-CN"/>
        </w:rPr>
        <w:t>简</w:t>
      </w:r>
      <w:r>
        <w:rPr>
          <w:rFonts w:hint="eastAsia" w:ascii="宋体" w:hAnsi="宋体" w:cs="宋体"/>
          <w:color w:val="000000"/>
          <w:sz w:val="24"/>
          <w:szCs w:val="24"/>
        </w:rPr>
        <w:t>称"本工程"）概况如下：</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宋体" w:hAnsi="宋体" w:eastAsia="宋体" w:cs="宋体"/>
          <w:b/>
          <w:color w:val="000000"/>
          <w:sz w:val="24"/>
          <w:szCs w:val="24"/>
          <w:lang w:val="en-US" w:eastAsia="zh-CN"/>
        </w:rPr>
      </w:pPr>
      <w:r>
        <w:rPr>
          <w:rFonts w:hint="eastAsia" w:ascii="宋体" w:hAnsi="宋体" w:cs="宋体"/>
          <w:color w:val="000000"/>
          <w:sz w:val="24"/>
          <w:szCs w:val="24"/>
        </w:rPr>
        <w:t xml:space="preserve"> 工程名称：</w:t>
      </w:r>
      <w:r>
        <w:rPr>
          <w:rFonts w:hint="eastAsia" w:ascii="宋体" w:hAnsi="宋体" w:cs="宋体"/>
          <w:color w:val="000000"/>
          <w:sz w:val="24"/>
          <w:szCs w:val="24"/>
          <w:u w:val="single"/>
        </w:rPr>
        <w:t xml:space="preserve">  </w:t>
      </w:r>
      <w:r>
        <w:rPr>
          <w:rFonts w:hint="eastAsia" w:cs="宋体"/>
          <w:color w:val="000000"/>
          <w:sz w:val="24"/>
          <w:szCs w:val="24"/>
          <w:u w:val="single"/>
          <w:lang w:val="en-US" w:eastAsia="zh-CN"/>
        </w:rPr>
        <w:t xml:space="preserve">      </w:t>
      </w:r>
      <w:r>
        <w:rPr>
          <w:rFonts w:hint="eastAsia" w:ascii="宋体" w:hAnsi="宋体" w:cs="宋体"/>
          <w:color w:val="000000"/>
          <w:sz w:val="24"/>
          <w:szCs w:val="24"/>
          <w:u w:val="single"/>
        </w:rPr>
        <w:t xml:space="preserve">  </w:t>
      </w:r>
      <w:r>
        <w:rPr>
          <w:rFonts w:hint="eastAsia" w:cs="宋体"/>
          <w:color w:val="000000"/>
          <w:sz w:val="24"/>
          <w:szCs w:val="24"/>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default" w:ascii="宋体" w:hAnsi="宋体" w:eastAsia="宋体" w:cs="宋体"/>
          <w:color w:val="000000"/>
          <w:sz w:val="24"/>
          <w:szCs w:val="24"/>
          <w:lang w:val="en-US" w:eastAsia="zh-CN"/>
        </w:rPr>
      </w:pPr>
      <w:r>
        <w:rPr>
          <w:rFonts w:hint="eastAsia" w:ascii="宋体" w:hAnsi="宋体" w:cs="宋体"/>
          <w:color w:val="000000"/>
          <w:sz w:val="24"/>
          <w:szCs w:val="24"/>
        </w:rPr>
        <w:t xml:space="preserve">     工程地点：</w:t>
      </w:r>
      <w:r>
        <w:rPr>
          <w:rFonts w:hint="eastAsia" w:ascii="宋体" w:hAnsi="宋体" w:cs="宋体"/>
          <w:b/>
          <w:color w:val="000000"/>
          <w:sz w:val="24"/>
          <w:szCs w:val="24"/>
          <w:u w:val="single"/>
        </w:rPr>
        <w:t xml:space="preserve"> </w:t>
      </w:r>
      <w:r>
        <w:rPr>
          <w:rFonts w:hint="eastAsia" w:ascii="宋体" w:hAnsi="宋体" w:cs="宋体"/>
          <w:color w:val="000000"/>
          <w:sz w:val="24"/>
          <w:szCs w:val="24"/>
          <w:u w:val="single"/>
        </w:rPr>
        <w:t xml:space="preserve">  </w:t>
      </w:r>
      <w:r>
        <w:rPr>
          <w:rFonts w:hint="eastAsia" w:cs="宋体"/>
          <w:color w:val="000000"/>
          <w:sz w:val="24"/>
          <w:szCs w:val="24"/>
          <w:u w:val="single"/>
          <w:lang w:val="en-US" w:eastAsia="zh-CN"/>
        </w:rPr>
        <w:t xml:space="preserve">      </w:t>
      </w:r>
      <w:r>
        <w:rPr>
          <w:rFonts w:hint="eastAsia" w:ascii="宋体" w:hAnsi="宋体" w:cs="宋体"/>
          <w:b/>
          <w:color w:val="000000"/>
          <w:sz w:val="24"/>
          <w:szCs w:val="24"/>
          <w:u w:val="single"/>
        </w:rPr>
        <w:t xml:space="preserve"> </w:t>
      </w:r>
      <w:r>
        <w:rPr>
          <w:rFonts w:hint="eastAsia" w:cs="宋体"/>
          <w:b/>
          <w:color w:val="000000"/>
          <w:sz w:val="24"/>
          <w:szCs w:val="24"/>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宋体" w:hAnsi="宋体" w:eastAsia="宋体" w:cs="宋体"/>
          <w:color w:val="000000"/>
          <w:sz w:val="24"/>
          <w:szCs w:val="24"/>
          <w:lang w:val="en-US" w:eastAsia="zh-CN"/>
        </w:rPr>
      </w:pPr>
      <w:r>
        <w:rPr>
          <w:rFonts w:hint="eastAsia" w:ascii="宋体" w:hAnsi="宋体" w:cs="宋体"/>
          <w:color w:val="000000"/>
          <w:sz w:val="24"/>
          <w:szCs w:val="24"/>
        </w:rPr>
        <w:t xml:space="preserve"> 工程规模：</w:t>
      </w:r>
      <w:r>
        <w:rPr>
          <w:rFonts w:hint="eastAsia" w:ascii="宋体" w:hAnsi="宋体" w:cs="宋体"/>
          <w:b/>
          <w:color w:val="000000"/>
          <w:sz w:val="24"/>
          <w:szCs w:val="24"/>
          <w:u w:val="single"/>
        </w:rPr>
        <w:t xml:space="preserve">  </w:t>
      </w:r>
      <w:r>
        <w:rPr>
          <w:rFonts w:hint="eastAsia" w:ascii="宋体" w:hAnsi="宋体" w:cs="宋体"/>
          <w:color w:val="000000"/>
          <w:sz w:val="24"/>
          <w:szCs w:val="24"/>
          <w:u w:val="single"/>
        </w:rPr>
        <w:t xml:space="preserve"> </w:t>
      </w:r>
      <w:r>
        <w:rPr>
          <w:rFonts w:hint="eastAsia" w:cs="宋体"/>
          <w:color w:val="000000"/>
          <w:sz w:val="24"/>
          <w:szCs w:val="24"/>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cs="宋体"/>
          <w:color w:val="000000"/>
          <w:sz w:val="24"/>
          <w:szCs w:val="24"/>
        </w:rPr>
      </w:pPr>
      <w:r>
        <w:rPr>
          <w:rFonts w:hint="eastAsia" w:ascii="宋体" w:hAnsi="宋体" w:cs="宋体"/>
          <w:color w:val="000000"/>
          <w:sz w:val="24"/>
          <w:szCs w:val="24"/>
        </w:rPr>
        <w:t xml:space="preserve"> 总投资： </w:t>
      </w:r>
      <w:r>
        <w:rPr>
          <w:rFonts w:hint="eastAsia" w:ascii="宋体" w:hAnsi="宋体" w:cs="宋体"/>
          <w:b/>
          <w:color w:val="000000"/>
          <w:sz w:val="24"/>
          <w:szCs w:val="24"/>
        </w:rPr>
        <w:t xml:space="preserve"> </w:t>
      </w:r>
      <w:r>
        <w:rPr>
          <w:rFonts w:hint="eastAsia" w:ascii="宋体" w:hAnsi="宋体" w:cs="宋体"/>
          <w:b/>
          <w:color w:val="000000"/>
          <w:sz w:val="24"/>
          <w:szCs w:val="24"/>
          <w:u w:val="single"/>
        </w:rPr>
        <w:t xml:space="preserve">   </w:t>
      </w:r>
      <w:r>
        <w:rPr>
          <w:rFonts w:hint="eastAsia" w:cs="宋体"/>
          <w:b/>
          <w:color w:val="000000"/>
          <w:sz w:val="24"/>
          <w:szCs w:val="24"/>
          <w:u w:val="single"/>
          <w:lang w:val="en-US" w:eastAsia="zh-CN"/>
        </w:rPr>
        <w:t xml:space="preserve">      </w:t>
      </w:r>
      <w:r>
        <w:rPr>
          <w:rFonts w:hint="eastAsia" w:ascii="宋体" w:hAnsi="宋体" w:cs="宋体"/>
          <w:b/>
          <w:color w:val="000000"/>
          <w:sz w:val="24"/>
          <w:szCs w:val="24"/>
          <w:u w:val="single"/>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firstLine="360" w:firstLineChars="150"/>
        <w:textAlignment w:val="auto"/>
        <w:rPr>
          <w:rFonts w:hint="eastAsia" w:ascii="宋体" w:hAnsi="宋体" w:cs="宋体"/>
          <w:color w:val="000000"/>
          <w:sz w:val="24"/>
          <w:szCs w:val="24"/>
        </w:rPr>
      </w:pPr>
      <w:r>
        <w:rPr>
          <w:rFonts w:hint="eastAsia" w:ascii="宋体" w:hAnsi="宋体" w:cs="宋体"/>
          <w:color w:val="000000"/>
          <w:sz w:val="24"/>
          <w:szCs w:val="24"/>
        </w:rPr>
        <w:t>二、本合同中的有关词语含义与本合同第二部分《标准条件》中赋予它们的定义相同。</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cs="宋体"/>
          <w:color w:val="000000"/>
          <w:sz w:val="24"/>
          <w:szCs w:val="24"/>
        </w:rPr>
      </w:pPr>
      <w:r>
        <w:rPr>
          <w:rFonts w:hint="eastAsia" w:ascii="宋体" w:hAnsi="宋体" w:cs="宋体"/>
          <w:color w:val="000000"/>
          <w:sz w:val="24"/>
          <w:szCs w:val="24"/>
        </w:rPr>
        <w:t>三、下列文件均为本合同的组成部分：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cs="宋体"/>
          <w:color w:val="000000"/>
          <w:sz w:val="24"/>
          <w:szCs w:val="24"/>
        </w:rPr>
      </w:pPr>
      <w:r>
        <w:rPr>
          <w:rFonts w:hint="eastAsia" w:ascii="宋体" w:hAnsi="宋体" w:cs="宋体"/>
          <w:color w:val="000000"/>
          <w:sz w:val="24"/>
          <w:szCs w:val="24"/>
        </w:rPr>
        <w:t>①监理投标书或中标通知书；</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cs="宋体"/>
          <w:color w:val="000000"/>
          <w:sz w:val="24"/>
          <w:szCs w:val="24"/>
        </w:rPr>
      </w:pPr>
      <w:r>
        <w:rPr>
          <w:rFonts w:hint="eastAsia" w:ascii="宋体" w:hAnsi="宋体" w:cs="宋体"/>
          <w:color w:val="000000"/>
          <w:sz w:val="24"/>
          <w:szCs w:val="24"/>
        </w:rPr>
        <w:t>②本合同标准条件；</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cs="宋体"/>
          <w:color w:val="000000"/>
          <w:sz w:val="24"/>
          <w:szCs w:val="24"/>
        </w:rPr>
      </w:pPr>
      <w:r>
        <w:rPr>
          <w:rFonts w:hint="eastAsia" w:ascii="宋体" w:hAnsi="宋体" w:cs="宋体"/>
          <w:color w:val="000000"/>
          <w:sz w:val="24"/>
          <w:szCs w:val="24"/>
        </w:rPr>
        <w:t>③本合同专用条件；</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cs="宋体"/>
          <w:color w:val="000000"/>
          <w:sz w:val="24"/>
          <w:szCs w:val="24"/>
        </w:rPr>
      </w:pPr>
      <w:r>
        <w:rPr>
          <w:rFonts w:hint="eastAsia" w:ascii="宋体" w:hAnsi="宋体" w:cs="宋体"/>
          <w:color w:val="000000"/>
          <w:sz w:val="24"/>
          <w:szCs w:val="24"/>
        </w:rPr>
        <w:t>④在实施过程中双方共同签署的补充与修正文件；</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cs="宋体"/>
          <w:color w:val="000000"/>
          <w:sz w:val="24"/>
          <w:szCs w:val="24"/>
        </w:rPr>
      </w:pPr>
      <w:r>
        <w:rPr>
          <w:rFonts w:hint="eastAsia" w:ascii="宋体" w:hAnsi="宋体" w:cs="宋体"/>
          <w:color w:val="000000"/>
          <w:sz w:val="24"/>
          <w:szCs w:val="24"/>
        </w:rPr>
        <w:t>⑤交易文件亦为合同的组成部分，本合同与交易文件不一致的地方，以交易文件为准。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cs="宋体"/>
          <w:color w:val="000000"/>
          <w:sz w:val="24"/>
          <w:szCs w:val="24"/>
        </w:rPr>
      </w:pPr>
      <w:r>
        <w:rPr>
          <w:rFonts w:hint="eastAsia" w:ascii="宋体" w:hAnsi="宋体" w:cs="宋体"/>
          <w:color w:val="000000"/>
          <w:sz w:val="24"/>
          <w:szCs w:val="24"/>
        </w:rPr>
        <w:t>四、监理人向委托人承诺，按照本合同的规定，承担本合同专用条件中议定范围内的监理业务。</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cs="宋体"/>
          <w:color w:val="000000"/>
          <w:sz w:val="24"/>
          <w:szCs w:val="24"/>
        </w:rPr>
      </w:pPr>
      <w:r>
        <w:rPr>
          <w:rFonts w:hint="eastAsia" w:ascii="宋体" w:hAnsi="宋体" w:cs="宋体"/>
          <w:color w:val="000000"/>
          <w:sz w:val="24"/>
          <w:szCs w:val="24"/>
        </w:rPr>
        <w:t>五、委托人向监理人承诺按照本合同注明的期限、方式、币种，向监理人支付报酬。</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cs="宋体"/>
          <w:color w:val="000000"/>
          <w:sz w:val="24"/>
          <w:szCs w:val="24"/>
        </w:rPr>
      </w:pPr>
      <w:r>
        <w:rPr>
          <w:rFonts w:hint="eastAsia" w:ascii="宋体" w:hAnsi="宋体" w:cs="宋体"/>
          <w:color w:val="000000"/>
          <w:sz w:val="24"/>
          <w:szCs w:val="24"/>
        </w:rPr>
        <w:t xml:space="preserve">    本合同自</w:t>
      </w:r>
      <w:r>
        <w:rPr>
          <w:rFonts w:hint="eastAsia" w:ascii="宋体" w:hAnsi="宋体" w:cs="宋体"/>
          <w:color w:val="000000"/>
          <w:sz w:val="24"/>
          <w:szCs w:val="24"/>
          <w:u w:val="single"/>
        </w:rPr>
        <w:t xml:space="preserve">       </w:t>
      </w:r>
      <w:r>
        <w:rPr>
          <w:rFonts w:hint="eastAsia" w:ascii="宋体" w:hAnsi="宋体" w:cs="宋体"/>
          <w:color w:val="000000"/>
          <w:sz w:val="24"/>
          <w:szCs w:val="24"/>
        </w:rPr>
        <w:t>开始实施，至</w:t>
      </w:r>
      <w:r>
        <w:rPr>
          <w:rFonts w:hint="eastAsia" w:ascii="宋体" w:hAnsi="宋体" w:cs="宋体"/>
          <w:color w:val="000000"/>
          <w:sz w:val="24"/>
          <w:szCs w:val="24"/>
          <w:u w:val="single"/>
        </w:rPr>
        <w:t xml:space="preserve">      </w:t>
      </w:r>
      <w:r>
        <w:rPr>
          <w:rFonts w:hint="eastAsia" w:ascii="宋体" w:hAnsi="宋体" w:cs="宋体"/>
          <w:color w:val="000000"/>
          <w:sz w:val="24"/>
          <w:szCs w:val="24"/>
        </w:rPr>
        <w:t>完成。</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cs="宋体"/>
          <w:color w:val="000000"/>
          <w:sz w:val="24"/>
          <w:szCs w:val="24"/>
        </w:rPr>
      </w:pPr>
      <w:r>
        <w:rPr>
          <w:rFonts w:hint="eastAsia" w:ascii="宋体" w:hAnsi="宋体" w:cs="宋体"/>
          <w:color w:val="000000"/>
          <w:sz w:val="24"/>
          <w:szCs w:val="24"/>
        </w:rPr>
        <w:t>本合同一式捌份，正本贰份，副本陆份。具有同等法律效力，双方各执肆份。</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cs="宋体"/>
          <w:color w:val="000000"/>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cs="宋体"/>
          <w:color w:val="000000"/>
          <w:sz w:val="24"/>
          <w:szCs w:val="24"/>
        </w:rPr>
      </w:pPr>
      <w:bookmarkStart w:id="58" w:name="OLE_LINK1"/>
      <w:r>
        <w:rPr>
          <w:rFonts w:hint="eastAsia" w:ascii="宋体" w:hAnsi="宋体" w:cs="宋体"/>
          <w:color w:val="000000"/>
          <w:sz w:val="24"/>
          <w:szCs w:val="24"/>
        </w:rPr>
        <w:t>委托人：（签章）             监理人：（签章）</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cs="宋体"/>
          <w:color w:val="000000"/>
          <w:sz w:val="24"/>
          <w:szCs w:val="24"/>
        </w:rPr>
      </w:pPr>
      <w:r>
        <w:rPr>
          <w:rFonts w:hint="eastAsia" w:ascii="宋体" w:hAnsi="宋体" w:cs="宋体"/>
          <w:color w:val="000000"/>
          <w:sz w:val="24"/>
          <w:szCs w:val="24"/>
        </w:rPr>
        <w:t xml:space="preserve">住所：                      住所： </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cs="宋体"/>
          <w:color w:val="000000"/>
          <w:sz w:val="24"/>
          <w:szCs w:val="24"/>
        </w:rPr>
      </w:pPr>
      <w:r>
        <w:rPr>
          <w:rFonts w:hint="eastAsia" w:ascii="宋体" w:hAnsi="宋体" w:cs="宋体"/>
          <w:color w:val="000000"/>
          <w:sz w:val="24"/>
          <w:szCs w:val="24"/>
        </w:rPr>
        <w:t>法定代表人：（签章）         法定代表人：（签章）</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cs="宋体"/>
          <w:color w:val="000000"/>
          <w:sz w:val="24"/>
          <w:szCs w:val="24"/>
        </w:rPr>
      </w:pPr>
      <w:r>
        <w:rPr>
          <w:rFonts w:hint="eastAsia" w:ascii="宋体" w:hAnsi="宋体" w:cs="宋体"/>
          <w:color w:val="000000"/>
          <w:sz w:val="24"/>
          <w:szCs w:val="24"/>
        </w:rPr>
        <w:t xml:space="preserve">开户银行：                  开户银行： </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cs="宋体"/>
          <w:color w:val="000000"/>
          <w:sz w:val="24"/>
          <w:szCs w:val="24"/>
        </w:rPr>
      </w:pPr>
      <w:r>
        <w:rPr>
          <w:rFonts w:hint="eastAsia" w:ascii="宋体" w:hAnsi="宋体" w:cs="宋体"/>
          <w:color w:val="000000"/>
          <w:sz w:val="24"/>
          <w:szCs w:val="24"/>
        </w:rPr>
        <w:t xml:space="preserve">账号：                      账号： </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cs="宋体"/>
          <w:color w:val="000000"/>
          <w:sz w:val="24"/>
          <w:szCs w:val="24"/>
        </w:rPr>
      </w:pPr>
      <w:r>
        <w:rPr>
          <w:rFonts w:hint="eastAsia" w:ascii="宋体" w:hAnsi="宋体" w:cs="宋体"/>
          <w:color w:val="000000"/>
          <w:sz w:val="24"/>
          <w:szCs w:val="24"/>
        </w:rPr>
        <w:t xml:space="preserve">邮编：                      邮编： </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cs="宋体"/>
          <w:color w:val="000000"/>
          <w:sz w:val="24"/>
          <w:szCs w:val="24"/>
        </w:rPr>
      </w:pPr>
      <w:r>
        <w:rPr>
          <w:rFonts w:hint="eastAsia" w:ascii="宋体" w:hAnsi="宋体" w:cs="宋体"/>
          <w:color w:val="000000"/>
          <w:sz w:val="24"/>
          <w:szCs w:val="24"/>
        </w:rPr>
        <w:t>电话：                      电话：</w:t>
      </w:r>
      <w:bookmarkEnd w:id="58"/>
      <w:r>
        <w:rPr>
          <w:rFonts w:hint="eastAsia" w:ascii="宋体" w:hAnsi="宋体" w:cs="宋体"/>
          <w:color w:val="000000"/>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cs="宋体"/>
          <w:color w:val="000000"/>
          <w:sz w:val="24"/>
          <w:szCs w:val="24"/>
        </w:rPr>
      </w:pPr>
      <w:r>
        <w:rPr>
          <w:rFonts w:hint="eastAsia" w:ascii="宋体" w:hAnsi="宋体" w:cs="宋体"/>
          <w:color w:val="000000"/>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cs="宋体"/>
          <w:color w:val="000000"/>
          <w:sz w:val="24"/>
          <w:szCs w:val="24"/>
        </w:rPr>
      </w:pPr>
      <w:r>
        <w:rPr>
          <w:rFonts w:hint="eastAsia" w:ascii="宋体" w:hAnsi="宋体" w:cs="宋体"/>
          <w:color w:val="000000"/>
          <w:sz w:val="24"/>
          <w:szCs w:val="24"/>
        </w:rPr>
        <w:t xml:space="preserve">     本合同签订于：_______年_______月_______日</w:t>
      </w:r>
    </w:p>
    <w:tbl>
      <w:tblPr>
        <w:tblStyle w:val="20"/>
        <w:tblW w:w="90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4516" w:type="dxa"/>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cs="宋体"/>
                <w:color w:val="000000"/>
                <w:sz w:val="24"/>
                <w:szCs w:val="24"/>
              </w:rPr>
            </w:pPr>
            <w:r>
              <w:rPr>
                <w:rFonts w:hint="eastAsia" w:ascii="宋体" w:hAnsi="宋体" w:cs="宋体"/>
                <w:color w:val="000000"/>
                <w:sz w:val="24"/>
                <w:szCs w:val="24"/>
              </w:rPr>
              <w:t>工商行政管理部门签证</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cs="宋体"/>
                <w:color w:val="000000"/>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cs="宋体"/>
                <w:color w:val="000000"/>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cs="宋体"/>
                <w:color w:val="000000"/>
                <w:sz w:val="24"/>
                <w:szCs w:val="24"/>
              </w:rPr>
            </w:pPr>
            <w:r>
              <w:rPr>
                <w:rFonts w:hint="eastAsia" w:ascii="宋体" w:hAnsi="宋体" w:cs="宋体"/>
                <w:color w:val="000000"/>
                <w:sz w:val="24"/>
                <w:szCs w:val="24"/>
              </w:rPr>
              <w:t xml:space="preserve">      （签 证 章）</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cs="宋体"/>
                <w:color w:val="000000"/>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cs="宋体"/>
                <w:color w:val="000000"/>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cs="宋体"/>
                <w:color w:val="000000"/>
                <w:sz w:val="24"/>
                <w:szCs w:val="24"/>
              </w:rPr>
            </w:pPr>
            <w:r>
              <w:rPr>
                <w:rFonts w:hint="eastAsia" w:ascii="宋体" w:hAnsi="宋体" w:cs="宋体"/>
                <w:color w:val="000000"/>
                <w:sz w:val="24"/>
                <w:szCs w:val="24"/>
              </w:rPr>
              <w:t>经办人：      年    月    日</w:t>
            </w:r>
          </w:p>
        </w:tc>
        <w:tc>
          <w:tcPr>
            <w:tcW w:w="4537" w:type="dxa"/>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cs="宋体"/>
                <w:color w:val="000000"/>
                <w:sz w:val="24"/>
                <w:szCs w:val="24"/>
              </w:rPr>
            </w:pPr>
            <w:r>
              <w:rPr>
                <w:rFonts w:hint="eastAsia" w:ascii="宋体" w:hAnsi="宋体" w:cs="宋体"/>
                <w:color w:val="000000"/>
                <w:sz w:val="24"/>
                <w:szCs w:val="24"/>
              </w:rPr>
              <w:t>建设行政主管部门登记备案：</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cs="宋体"/>
                <w:color w:val="000000"/>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cs="宋体"/>
                <w:color w:val="000000"/>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cs="宋体"/>
                <w:color w:val="000000"/>
                <w:sz w:val="24"/>
                <w:szCs w:val="24"/>
              </w:rPr>
            </w:pPr>
            <w:r>
              <w:rPr>
                <w:rFonts w:hint="eastAsia" w:ascii="宋体" w:hAnsi="宋体" w:cs="宋体"/>
                <w:color w:val="000000"/>
                <w:sz w:val="24"/>
                <w:szCs w:val="24"/>
              </w:rPr>
              <w:t xml:space="preserve">     （印 章）</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cs="宋体"/>
                <w:color w:val="000000"/>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cs="宋体"/>
                <w:color w:val="000000"/>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cs="宋体"/>
                <w:color w:val="000000"/>
                <w:sz w:val="24"/>
                <w:szCs w:val="24"/>
              </w:rPr>
            </w:pPr>
            <w:r>
              <w:rPr>
                <w:rFonts w:hint="eastAsia" w:ascii="宋体" w:hAnsi="宋体" w:cs="宋体"/>
                <w:color w:val="000000"/>
                <w:sz w:val="24"/>
                <w:szCs w:val="24"/>
              </w:rPr>
              <w:t>经办人：      年    月    日</w:t>
            </w:r>
          </w:p>
        </w:tc>
      </w:tr>
    </w:tbl>
    <w:p>
      <w:pPr>
        <w:bidi w:val="0"/>
        <w:rPr>
          <w:rFonts w:hint="eastAsia"/>
        </w:rPr>
      </w:pPr>
      <w:bookmarkStart w:id="59" w:name="_Toc346610485"/>
    </w:p>
    <w:p>
      <w:pPr>
        <w:bidi w:val="0"/>
        <w:rPr>
          <w:rFonts w:hint="eastAsia"/>
        </w:rPr>
      </w:pPr>
    </w:p>
    <w:bookmarkEnd w:id="59"/>
    <w:p>
      <w:pPr>
        <w:pStyle w:val="2"/>
        <w:keepNext w:val="0"/>
        <w:keepLines w:val="0"/>
        <w:pageBreakBefore w:val="0"/>
        <w:numPr>
          <w:ilvl w:val="0"/>
          <w:numId w:val="0"/>
        </w:numPr>
        <w:kinsoku/>
        <w:wordWrap/>
        <w:overflowPunct/>
        <w:topLinePunct w:val="0"/>
        <w:bidi w:val="0"/>
        <w:spacing w:line="360" w:lineRule="auto"/>
        <w:ind w:left="431"/>
        <w:jc w:val="center"/>
        <w:textAlignment w:val="auto"/>
        <w:outlineLvl w:val="0"/>
        <w:rPr>
          <w:rFonts w:hint="eastAsia" w:ascii="宋体" w:hAnsi="宋体" w:eastAsia="宋体" w:cs="宋体"/>
          <w:sz w:val="24"/>
          <w:szCs w:val="24"/>
        </w:rPr>
      </w:pPr>
      <w:bookmarkStart w:id="60" w:name="_Toc30262"/>
      <w:bookmarkStart w:id="61" w:name="_Toc346610486"/>
      <w:r>
        <w:rPr>
          <w:rFonts w:hint="eastAsia" w:ascii="宋体" w:hAnsi="宋体" w:eastAsia="宋体" w:cs="宋体"/>
          <w:sz w:val="24"/>
          <w:szCs w:val="24"/>
        </w:rPr>
        <w:t>第二部分 标准条件</w:t>
      </w:r>
      <w:bookmarkEnd w:id="60"/>
    </w:p>
    <w:p>
      <w:pPr>
        <w:keepNext w:val="0"/>
        <w:keepLines w:val="0"/>
        <w:pageBreakBefore w:val="0"/>
        <w:kinsoku/>
        <w:wordWrap/>
        <w:overflowPunct/>
        <w:topLinePunct w:val="0"/>
        <w:bidi w:val="0"/>
        <w:spacing w:line="360" w:lineRule="auto"/>
        <w:ind w:left="990" w:leftChars="67" w:hanging="843" w:hangingChars="350"/>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词语定义、适用范围和法规</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第一条  下列名词和用语，除上下文另有规定外，有如下含义：</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（1）"工程"是指委托人委托实施监理的工程。</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（2）"委托人"是指承担直接投资责任和委托监理业务的一方以及其合法继承人。</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（3）"监理人"是指承担监理业务和监理责任的一方，以及其合法继承人。</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（4）"监理机构"是指监理人派驻本工程现场实施监理业务的组织。</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（5）"总监理工程师"是指经委托人同意，监理人派到监理机构全面履行本合同的全权负责人。</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（6）"承包人"是指除监理人以外，委托人就工程建设有关事宜签订合同的当事人。</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（7）"工程监理的正常工作"是指双方在专用条件中约定，委托人委托的监理工作范围和内容。</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（8）"工程监理的附加工作"是指：①委托人委托监理范围以外，通过双方书面协议另外增加的工作内容；②由于委托人或承包人原因，使监理工作受到阻碍或延误，因增加工作量或持续时间而增加的工作。</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（9）"工程监理的额外工作"是指正常工作和附加工作以外，根据第三十八条规定监理人必须完成的工作，或非监理人自己的原因而暂停或终止监理业务，其善后工作及恢复监理业务的工作。</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（10）"日"是指任何一天零时至第二天零时的时间段。</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（11）"月"是指根据公历从一个月份中任何一天开始到下一个月相应日期的前一天的时间段。</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第二条　建设工程委托监理合同适用的法律是指国家的法律、行政法规，以及专用条件中议定的部门规章或工程所在地的地方法规、地方规章。</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第三条　本合同文件使用汉语语言文字书写、解释和说明。如专用条件约定使用两种以上（含两种）语言文字时，汉语应为解释和说明本合同的标准语言文字。</w:t>
      </w:r>
    </w:p>
    <w:p>
      <w:pPr>
        <w:pStyle w:val="11"/>
        <w:keepNext w:val="0"/>
        <w:keepLines w:val="0"/>
        <w:pageBreakBefore w:val="0"/>
        <w:kinsoku/>
        <w:wordWrap/>
        <w:overflowPunct/>
        <w:topLinePunct w:val="0"/>
        <w:bidi w:val="0"/>
        <w:spacing w:line="360" w:lineRule="auto"/>
        <w:ind w:left="420" w:firstLine="482" w:firstLineChars="200"/>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监理人义务</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第四条　监理人按合同约定派出监理工作需要的监理机构及监理人员，向委托人报送委派的总监理工程师及其监理机构主要成员名单、监理规划，完成监理合同专用条件中约定的监理工程范围内的监理业务。在履行合同义务期间，应按合同约定定期向委托人报告监理工作。</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第五条　监理人在履行本合同的义务期间，应认真、勤奋地工作，为委托人提供与其水平相适应的咨询意见，公正维护各方面的合法权益。</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第六条　监理人使用委托人提供的设施和物品属委托人的财产。在监理工作完成或中止时，应将其设施和剩余的物品按合同约定的时间和方式移交给委托人。</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第七条　在合同期内或合同终止后，未征得有关方同意，不得泄露与本工程、本合同业务有关的保密资料。</w:t>
      </w:r>
    </w:p>
    <w:p>
      <w:pPr>
        <w:pStyle w:val="11"/>
        <w:keepNext w:val="0"/>
        <w:keepLines w:val="0"/>
        <w:pageBreakBefore w:val="0"/>
        <w:kinsoku/>
        <w:wordWrap/>
        <w:overflowPunct/>
        <w:topLinePunct w:val="0"/>
        <w:bidi w:val="0"/>
        <w:spacing w:line="360" w:lineRule="auto"/>
        <w:ind w:left="420" w:firstLine="482" w:firstLineChars="200"/>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委托人义务</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第八条　委托人在监理人开展监理业务之前应向监理人支付预付款。</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第九条　委托人应当负责工程建设的所有外部关系的协调，为监理工作提供外部条件。根据需要，如将部分或全部协调工作委托监理人承担，则应在专用条件中明确委托的工作和相应的报酬。</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第十条　委托人应当在双方约定的时间内免费向监理人提供与工程有关的为监理工作所需要的工程资料。</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第十一条　委托人应当在专用条款约定的时间内就监理人书面提交并要求作出决定的一切事宜作出书面决定。</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第十二条　委托人应当授权一名熟悉工程情况、能在规定时间内作出决定的常驻代表（在专用条款中约定），负责与监理人联系。更换常驻代表，要提前通知监理人。</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第十三条　委托人应当将授予监理人的监理权利，以及监理人主要成员的职能分工、监理权限及时书面通知已选定的承包合同的承包人，并在与第三人签订的合同中予以明确。</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第十四条　委托人应在不影响监理人开展监理工作的时间内提供如下资料：</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（1）与本工程合作的原材料、构配件、机械设备等生产厂家名录。</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（2）提供与本工程有关的协作单位、配合单位的名录。</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第十五条　委托人应免费向监理人提供办公用房、通讯设施、监理人员工地住房及合同专用条件约定的设施，对监理人自备的设施给予合理的经济补偿（补偿金额=设施在工程使用时间占折旧年限的比例╳设施原值十管理费）。</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第十六条　根据情况需要，如果双方约定，由委托人免费向监理人提供其他人员，应在监理合同专用条件中予以明确。</w:t>
      </w:r>
    </w:p>
    <w:p>
      <w:pPr>
        <w:pStyle w:val="11"/>
        <w:keepNext w:val="0"/>
        <w:keepLines w:val="0"/>
        <w:pageBreakBefore w:val="0"/>
        <w:kinsoku/>
        <w:wordWrap/>
        <w:overflowPunct/>
        <w:topLinePunct w:val="0"/>
        <w:bidi w:val="0"/>
        <w:spacing w:line="360" w:lineRule="auto"/>
        <w:ind w:left="420" w:firstLine="482" w:firstLineChars="200"/>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监理人权利</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第十七条　监理人在委托人委托的工程范围内，享有以下权利：</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（1）选择工程总承包人的建议权。</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（2）选择工程分包人的认可权。</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（3）对工程建设有关事项包括工程规模、设计标准、规划设计、生产工艺设计和使用功能要求，向委托人的建议权。</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对工程设计中的技术问题，按照安全和优化的原则，向设计人提出建议；如果拟提出的建议可能会提高工程造价，或延长工期，应当事先征得委托人的同意。当发现工程设计不符合国家颁布的建设工程质量标准或设计合同约定的质量标准时，监理人应当书面报告委托人并要求设计人更正。</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（5）审批工程施工组织设计和技术方案，按照保质量、保工期和降低成本的原则，向承包人提出建议，并向委托人提出书面报告。</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（6）主持工程建设有关协作单位的组织协调，重要协调事项应当事先向委托人报告。</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（7）征得委托人同意，监理人有权发布开工令、停工令、复工令，但应当事先向委托人报告。如在紧急情况下未能事先报告时，则应在24小时内向委托人作出书面报告。</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工程上使用的材料和施工质量的检验权。对于不符合设计要求和合同约定及国家质量标准的材料、构配件、设备，有权通知承包人停止使用；对于不符合规范和质量标准的工序、分部分项工程和不安全施工作业，有权通知承包人停工整改、返工。承包人得到监理机构复工令后才能复工。</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（9）工程施工进度的检查、监督权，以及工程实际竣工日期提前或超过工程施工合同规定的竣工期限的签认权。</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（10）在工程施工合同约定的工程价格范围内，工程款支付的审核和签认权，以及工程结算的复核确认权与否决权。未经总监理工程师签字确认，委托人不支付工程款。</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第十八条　监理人在委托人授权下，可对任何承包人合同规定的义务提出变更。如果由此严重影响了工程费用或质量、或进度，则这种变更须经委托人事先批准。在紧急情况下未能事先报委托人批准时，监理人所做的变更也应尽快通知委托人。在监理过程中如发现工程承包人人员工作不力，监理机构可要求承包人调换有关人员。</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第十九条　在委托的工程范围内，委托人或承包人对对方的任何意见和要求（包括索赔要求），均必须首先向监理机构提出，由监理机构研究处置意见，再同双方协商确定。当委托人和承包人发生争议时，监理机构应根据自己的职能，以独立的身份判断，公正地进行调解。当双方的争议由政府建设行政主管部门调解时，应当提供作证的事实材料。</w:t>
      </w:r>
    </w:p>
    <w:p>
      <w:pPr>
        <w:pStyle w:val="11"/>
        <w:keepNext w:val="0"/>
        <w:keepLines w:val="0"/>
        <w:pageBreakBefore w:val="0"/>
        <w:kinsoku/>
        <w:wordWrap/>
        <w:overflowPunct/>
        <w:topLinePunct w:val="0"/>
        <w:bidi w:val="0"/>
        <w:spacing w:line="360" w:lineRule="auto"/>
        <w:ind w:left="420" w:firstLine="482" w:firstLineChars="200"/>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委托人权利</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第二十条　委托人有选定工程总承包人，以及与其订立合同的权利。</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第二十一条　委托人有对工程规模、设计标准、规划设计、生产工艺设计和设计使用功能要求的认定权，以及对工程设计变更的审批权。</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第二十二条　监理人调换总监理工程师须事先经委托人同意。</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第二十三条　委托人有权要求监理人提交监理工作月报及监理业务范围内的专项报告。</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第二十四条　当委托人发现监理人员不按监理合同履行监理职责，或与承包人串通给委托人或工程造成损失的，委托人有权要求监理人更换监理人员，直到终止合同并要求监理人承担相应的赔偿责任或连带赔偿责任。</w:t>
      </w:r>
    </w:p>
    <w:p>
      <w:pPr>
        <w:pStyle w:val="11"/>
        <w:keepNext w:val="0"/>
        <w:keepLines w:val="0"/>
        <w:pageBreakBefore w:val="0"/>
        <w:kinsoku/>
        <w:wordWrap/>
        <w:overflowPunct/>
        <w:topLinePunct w:val="0"/>
        <w:bidi w:val="0"/>
        <w:spacing w:line="360" w:lineRule="auto"/>
        <w:ind w:left="420" w:firstLine="482" w:firstLineChars="200"/>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监理人责任</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第二十五条　监理人的责任期即委托监理合同有效期。在监理过程中，如果因工程建设进度的推迟或延误而超过书面约定的日期，双方应进一步约定相应延长的合同期。</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第二十六条　监理人在责任期内，应当履行约定的义务，如果因监理人过失而造成了委托人的经济损失，应当向委托人赔偿。累计赔偿总额（除本合同第二十四条规定以外）不应超过监理报酬总额（除去税金）。</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第二十七条　监理人对承包人违反合同规定的质量要求和完工（交图、交货）时限，不承担责任。因不可抗力导致委托监理合同不能全部或部分履行，监理人不承担责任。但对违反第五条规定引起的与之有关的事宜，向委托人承担赔偿责任。</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第二十八条　监理人向委托人提出赔偿要求不能成立时，监理人应当补偿由于该索赔所导致委托人的各种费用支出。 </w:t>
      </w:r>
    </w:p>
    <w:p>
      <w:pPr>
        <w:pStyle w:val="11"/>
        <w:keepNext w:val="0"/>
        <w:keepLines w:val="0"/>
        <w:pageBreakBefore w:val="0"/>
        <w:kinsoku/>
        <w:wordWrap/>
        <w:overflowPunct/>
        <w:topLinePunct w:val="0"/>
        <w:bidi w:val="0"/>
        <w:spacing w:line="360" w:lineRule="auto"/>
        <w:ind w:left="420" w:firstLine="482" w:firstLineChars="200"/>
        <w:jc w:val="center"/>
        <w:textAlignment w:val="auto"/>
        <w:rPr>
          <w:rFonts w:hint="eastAsia" w:ascii="宋体" w:hAnsi="宋体" w:eastAsia="宋体" w:cs="宋体"/>
          <w:color w:val="000000"/>
          <w:sz w:val="24"/>
          <w:szCs w:val="24"/>
        </w:rPr>
      </w:pPr>
      <w:r>
        <w:rPr>
          <w:rFonts w:hint="eastAsia" w:ascii="宋体" w:hAnsi="宋体" w:eastAsia="宋体" w:cs="宋体"/>
          <w:b/>
          <w:color w:val="000000"/>
          <w:sz w:val="24"/>
          <w:szCs w:val="24"/>
        </w:rPr>
        <w:t>委托人责任</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第二十九条　委托人应当履行委托监理合同约定的义务，如有违反则应当承担违约责任，赔偿给监理人造成的经济损失。</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监理人处理委托业务时，因非监理人原因的事由受到损失的，可以向委托人要求补偿损失。</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第三十条　委托人如果向监理人提出赔偿的要求不能成立，则应当补偿由该索赔所引起的监理人的各种费用支出。</w:t>
      </w:r>
    </w:p>
    <w:p>
      <w:pPr>
        <w:pStyle w:val="11"/>
        <w:keepNext w:val="0"/>
        <w:keepLines w:val="0"/>
        <w:pageBreakBefore w:val="0"/>
        <w:kinsoku/>
        <w:wordWrap/>
        <w:overflowPunct/>
        <w:topLinePunct w:val="0"/>
        <w:bidi w:val="0"/>
        <w:spacing w:line="360" w:lineRule="auto"/>
        <w:ind w:left="420" w:firstLine="482" w:firstLineChars="200"/>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合同生效、变更与终止</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第三十一条　由于委托人或承包人的原因使监理工作受到阻碍或延误，以致发生了附加工作或延长了持续时间，则监理人应当将此情况与可能产生的影响及时通知委托人。完成监理业务的时间相应延长，并得到附加工作的报酬。</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第三十二条　在委托监理合同签订后，实际情况发生变化，使得监理人不能全部或部分执行监理业务时，监理人应当立即通知委托人。该监理业务的完成时间应予延长。当恢复执行监理业务时，应当增加不超过42日的时间用于恢复执行监理业务，并按双方约定的数量支付监理报酬。</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第三十三条　监理人向委托人办理完竣工验收或工程移交手续，承包人和委托人已签订工程保修责任书，监理人收到监理报酬尾款，本合同即终止。保修期间的责任，双方在专用条款中约定。</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第三十四条　当事人一方要求变更或解除合同时，应当在42日前通知对方，因解除合同使一方遭受损失的，除依法可以免除责任的外，应由责任方负责赔偿。</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变更或解除合同的通知或协议必须采取书面形式，协议未达成之前，原合同仍然有效。</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第三十五条　监理人在应当获得监理报酬之日起30日内仍未收到支付单据，而委托人又未对监理人提出任何书面解释时，或根据第三十三条及第三十四条已暂停执行监理业务时限超过六个月的，监理人可向委托人发出终止合同的通知，发出通知后14日内仍未得到委托人答复，可进一步发出终止合同的通知，如果第二份通知发出后42日内仍未得到委托人答复，可终止合同或自行暂停或继续暂停执行全部或部分监理业务。委托人承担违约责任。</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第三十六条　监理人由于非自己的原因而暂停或终止执行监理业务，其善后工作以及恢复执行监理业务的工作，应当视为额外工作，有权得到额外的报酬。</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第三十七条　当委托人认为监理人无正当理由而又未履行监理义务时，可向监理人发出指明其未履行义务的通知。若委托人发出通知后21日内没有收到答复，可在第一个通知发出后35日内发出终止委托监理合同的通知，合同即行终止。监理人承担违约责任。</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sz w:val="24"/>
          <w:szCs w:val="24"/>
        </w:rPr>
        <w:t xml:space="preserve">第三十八条　合同协议的终止并不影响各方应有的权利和应当承担的责任。 </w:t>
      </w:r>
    </w:p>
    <w:p>
      <w:pPr>
        <w:keepNext w:val="0"/>
        <w:keepLines w:val="0"/>
        <w:pageBreakBefore w:val="0"/>
        <w:kinsoku/>
        <w:wordWrap/>
        <w:overflowPunct/>
        <w:topLinePunct w:val="0"/>
        <w:bidi w:val="0"/>
        <w:spacing w:line="360" w:lineRule="auto"/>
        <w:ind w:firstLine="482" w:firstLineChars="200"/>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监理报酬</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第三十九条　正常的监理工作、附加工作和额外工作的报酬，按照监理合同专用条件中第四十条的方法计算，并按约定的时间和数额支付。</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第四十条　如果委托人在规定的支付期限内未支付监理报酬，自规定之日起，还应向监理人支付滞纳金。滞纳金从规定支付期限最后一日起计算。</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第四十一条　支付监理报酬所采取的货币币种、汇率由合同专用条件约定。</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第四十二条　如果委托人对监理人提交的支付通知中报酬或部分报酬项目提出异议，应当在收到支付通知书24小时内向监理人发出表示异议的通知，但委托人不得拖延其他无异议报酬项目的支付。</w:t>
      </w:r>
    </w:p>
    <w:p>
      <w:pPr>
        <w:pStyle w:val="11"/>
        <w:keepNext w:val="0"/>
        <w:keepLines w:val="0"/>
        <w:pageBreakBefore w:val="0"/>
        <w:widowControl/>
        <w:kinsoku/>
        <w:wordWrap/>
        <w:overflowPunct/>
        <w:topLinePunct w:val="0"/>
        <w:bidi w:val="0"/>
        <w:spacing w:line="360" w:lineRule="auto"/>
        <w:ind w:left="420" w:firstLine="482" w:firstLineChars="200"/>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其他</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第四十三条　委托的建设工程监理所必要的监理人员出外考察、材料设备复试，其费用支出经委托人同意的，在预算范围内向委托人实报实销。</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第四十四条　在监理业务范围内，如需聘用专家咨询或协助，由监理人聘用的，其费用由监理人承担；由委托人聘用的，其费用由委托人承担。</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第四十五条　监理人在监理工作过程中提出的合理化建议，使委托人得到了经济效益，委托人应按专用条件中的约定给予经济奖励。</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第四十六条　监理人驻地监理机构及其职员不得接受监理工程项目施工承包人的任何报酬或者经济利益。</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监理人不得参与可能与合同规定的与委托人的利益相冲突的任何活动。</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第四十七条　监理人在监理过程中，不得泄露委托人申明的秘密，监理人亦不得泄露设计人、承包人等提供并申明的秘密。</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第四十八条　监理人对于由其编制的所有文件拥有版权，委托人仅有权为本工程使用或复制此类文件。</w:t>
      </w:r>
    </w:p>
    <w:p>
      <w:pPr>
        <w:keepNext w:val="0"/>
        <w:keepLines w:val="0"/>
        <w:pageBreakBefore w:val="0"/>
        <w:widowControl/>
        <w:kinsoku/>
        <w:wordWrap/>
        <w:overflowPunct/>
        <w:topLinePunct w:val="0"/>
        <w:bidi w:val="0"/>
        <w:spacing w:line="360" w:lineRule="auto"/>
        <w:ind w:firstLine="482" w:firstLineChars="200"/>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争议的解决</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第四十九条　因违反或终止合同而引起的对对方损失和损害的赔偿，双方应当协商解决，如未能达成一致，可提交主管部门协调，如仍未能达成一致时，根据双方约定向人民法院起诉。</w:t>
      </w:r>
    </w:p>
    <w:p>
      <w:pPr>
        <w:pStyle w:val="2"/>
        <w:keepNext w:val="0"/>
        <w:keepLines w:val="0"/>
        <w:pageBreakBefore w:val="0"/>
        <w:numPr>
          <w:ilvl w:val="0"/>
          <w:numId w:val="0"/>
        </w:numPr>
        <w:kinsoku/>
        <w:wordWrap/>
        <w:overflowPunct/>
        <w:topLinePunct w:val="0"/>
        <w:bidi w:val="0"/>
        <w:spacing w:line="360" w:lineRule="auto"/>
        <w:ind w:left="431" w:firstLine="241" w:firstLineChars="100"/>
        <w:jc w:val="center"/>
        <w:textAlignment w:val="auto"/>
        <w:outlineLvl w:val="0"/>
        <w:rPr>
          <w:rFonts w:hint="eastAsia" w:ascii="宋体" w:hAnsi="宋体" w:eastAsia="宋体" w:cs="宋体"/>
          <w:sz w:val="24"/>
          <w:szCs w:val="24"/>
        </w:rPr>
      </w:pPr>
      <w:bookmarkStart w:id="62" w:name="_Toc9035"/>
      <w:r>
        <w:rPr>
          <w:rFonts w:hint="eastAsia" w:ascii="宋体" w:hAnsi="宋体" w:eastAsia="宋体" w:cs="宋体"/>
          <w:color w:val="000000"/>
          <w:sz w:val="24"/>
          <w:szCs w:val="24"/>
        </w:rPr>
        <w:t>第三部分</w:t>
      </w:r>
      <w:r>
        <w:rPr>
          <w:rFonts w:hint="eastAsia" w:ascii="宋体" w:hAnsi="宋体" w:eastAsia="宋体" w:cs="宋体"/>
          <w:sz w:val="24"/>
          <w:szCs w:val="24"/>
        </w:rPr>
        <w:t>专用条款</w:t>
      </w:r>
      <w:bookmarkEnd w:id="61"/>
      <w:bookmarkEnd w:id="62"/>
    </w:p>
    <w:p>
      <w:pPr>
        <w:keepNext w:val="0"/>
        <w:keepLines w:val="0"/>
        <w:pageBreakBefore w:val="0"/>
        <w:kinsoku/>
        <w:wordWrap/>
        <w:overflowPunct/>
        <w:topLinePunct w:val="0"/>
        <w:bidi w:val="0"/>
        <w:spacing w:line="360" w:lineRule="auto"/>
        <w:textAlignment w:val="auto"/>
        <w:rPr>
          <w:rFonts w:hint="eastAsia" w:ascii="宋体" w:hAnsi="宋体" w:eastAsia="宋体" w:cs="宋体"/>
          <w:sz w:val="24"/>
          <w:szCs w:val="24"/>
        </w:rPr>
      </w:pPr>
    </w:p>
    <w:p>
      <w:pPr>
        <w:keepNext w:val="0"/>
        <w:keepLines w:val="0"/>
        <w:pageBreakBefore w:val="0"/>
        <w:numPr>
          <w:ilvl w:val="0"/>
          <w:numId w:val="3"/>
        </w:numPr>
        <w:kinsoku/>
        <w:wordWrap/>
        <w:overflowPunct/>
        <w:topLinePunct w:val="0"/>
        <w:bidi w:val="0"/>
        <w:spacing w:line="360" w:lineRule="auto"/>
        <w:textAlignment w:val="auto"/>
        <w:rPr>
          <w:rFonts w:hint="eastAsia" w:ascii="宋体" w:hAnsi="宋体" w:eastAsia="宋体" w:cs="宋体"/>
          <w:color w:val="000000"/>
          <w:sz w:val="24"/>
          <w:szCs w:val="24"/>
          <w:u w:val="single"/>
        </w:rPr>
      </w:pPr>
      <w:r>
        <w:rPr>
          <w:rFonts w:hint="eastAsia" w:ascii="宋体" w:hAnsi="宋体" w:eastAsia="宋体" w:cs="宋体"/>
          <w:b/>
          <w:color w:val="000000"/>
          <w:sz w:val="24"/>
          <w:szCs w:val="24"/>
        </w:rPr>
        <w:t xml:space="preserve">  </w:t>
      </w:r>
      <w:r>
        <w:rPr>
          <w:rFonts w:hint="eastAsia" w:ascii="宋体" w:hAnsi="宋体" w:eastAsia="宋体" w:cs="宋体"/>
          <w:color w:val="000000"/>
          <w:sz w:val="24"/>
          <w:szCs w:val="24"/>
        </w:rPr>
        <w:t>本合同适用的法律及监理依据：</w:t>
      </w:r>
    </w:p>
    <w:p>
      <w:pPr>
        <w:keepNext w:val="0"/>
        <w:keepLines w:val="0"/>
        <w:pageBreakBefore w:val="0"/>
        <w:kinsoku/>
        <w:wordWrap/>
        <w:overflowPunct/>
        <w:topLinePunct w:val="0"/>
        <w:bidi w:val="0"/>
        <w:spacing w:line="360" w:lineRule="auto"/>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rPr>
        <w:t xml:space="preserve">   1、</w:t>
      </w:r>
      <w:r>
        <w:rPr>
          <w:rFonts w:hint="eastAsia" w:ascii="宋体" w:hAnsi="宋体" w:eastAsia="宋体" w:cs="宋体"/>
          <w:color w:val="000000"/>
          <w:sz w:val="24"/>
          <w:szCs w:val="24"/>
          <w:u w:val="single"/>
        </w:rPr>
        <w:t xml:space="preserve">中华人民共和国《建筑法》、《建设工程监理规范》；                 </w:t>
      </w:r>
    </w:p>
    <w:p>
      <w:pPr>
        <w:keepNext w:val="0"/>
        <w:keepLines w:val="0"/>
        <w:pageBreakBefore w:val="0"/>
        <w:kinsoku/>
        <w:wordWrap/>
        <w:overflowPunct/>
        <w:topLinePunct w:val="0"/>
        <w:bidi w:val="0"/>
        <w:spacing w:line="360" w:lineRule="auto"/>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rPr>
        <w:t xml:space="preserve">   2、</w:t>
      </w:r>
      <w:r>
        <w:rPr>
          <w:rFonts w:hint="eastAsia" w:ascii="宋体" w:hAnsi="宋体" w:eastAsia="宋体" w:cs="宋体"/>
          <w:color w:val="000000"/>
          <w:sz w:val="24"/>
          <w:szCs w:val="24"/>
          <w:u w:val="single"/>
        </w:rPr>
        <w:t xml:space="preserve">国家行业和地方先行的法律法规以及有关工程建设的技术规范标准；  </w:t>
      </w:r>
    </w:p>
    <w:p>
      <w:pPr>
        <w:keepNext w:val="0"/>
        <w:keepLines w:val="0"/>
        <w:pageBreakBefore w:val="0"/>
        <w:kinsoku/>
        <w:wordWrap/>
        <w:overflowPunct/>
        <w:topLinePunct w:val="0"/>
        <w:bidi w:val="0"/>
        <w:spacing w:line="360" w:lineRule="auto"/>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rPr>
        <w:t xml:space="preserve">   3、</w:t>
      </w:r>
      <w:r>
        <w:rPr>
          <w:rFonts w:hint="eastAsia" w:ascii="宋体" w:hAnsi="宋体" w:eastAsia="宋体" w:cs="宋体"/>
          <w:color w:val="000000"/>
          <w:sz w:val="24"/>
          <w:szCs w:val="24"/>
          <w:u w:val="single"/>
        </w:rPr>
        <w:t xml:space="preserve">委托人和监理人签订的工程建设监理合同 ；                       </w:t>
      </w:r>
    </w:p>
    <w:p>
      <w:pPr>
        <w:keepNext w:val="0"/>
        <w:keepLines w:val="0"/>
        <w:pageBreakBefore w:val="0"/>
        <w:kinsoku/>
        <w:wordWrap/>
        <w:overflowPunct/>
        <w:topLinePunct w:val="0"/>
        <w:bidi w:val="0"/>
        <w:spacing w:line="360" w:lineRule="auto"/>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rPr>
        <w:t xml:space="preserve">   4、</w:t>
      </w:r>
      <w:r>
        <w:rPr>
          <w:rFonts w:hint="eastAsia" w:ascii="宋体" w:hAnsi="宋体" w:eastAsia="宋体" w:cs="宋体"/>
          <w:color w:val="000000"/>
          <w:sz w:val="24"/>
          <w:szCs w:val="24"/>
          <w:u w:val="single"/>
        </w:rPr>
        <w:t xml:space="preserve">委托人和承包人签订的工程建设施工合同 ；                       </w:t>
      </w:r>
    </w:p>
    <w:p>
      <w:pPr>
        <w:keepNext w:val="0"/>
        <w:keepLines w:val="0"/>
        <w:pageBreakBefore w:val="0"/>
        <w:kinsoku/>
        <w:wordWrap/>
        <w:overflowPunct/>
        <w:topLinePunct w:val="0"/>
        <w:bidi w:val="0"/>
        <w:spacing w:line="360" w:lineRule="auto"/>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rPr>
        <w:t xml:space="preserve">   5、</w:t>
      </w:r>
      <w:r>
        <w:rPr>
          <w:rFonts w:hint="eastAsia" w:ascii="宋体" w:hAnsi="宋体" w:eastAsia="宋体" w:cs="宋体"/>
          <w:color w:val="000000"/>
          <w:sz w:val="24"/>
          <w:szCs w:val="24"/>
          <w:u w:val="single"/>
        </w:rPr>
        <w:t xml:space="preserve">本工程的地质勘查报告、施工图设计文件、招投标文件、会议纪要及相关签证和变更；                                                       </w:t>
      </w:r>
    </w:p>
    <w:p>
      <w:pPr>
        <w:keepNext w:val="0"/>
        <w:keepLines w:val="0"/>
        <w:pageBreakBefore w:val="0"/>
        <w:kinsoku/>
        <w:wordWrap/>
        <w:overflowPunct/>
        <w:topLinePunct w:val="0"/>
        <w:bidi w:val="0"/>
        <w:spacing w:line="360" w:lineRule="auto"/>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rPr>
        <w:t xml:space="preserve">   6、</w:t>
      </w:r>
      <w:r>
        <w:rPr>
          <w:rFonts w:hint="eastAsia" w:ascii="宋体" w:hAnsi="宋体" w:eastAsia="宋体" w:cs="宋体"/>
          <w:color w:val="000000"/>
          <w:sz w:val="24"/>
          <w:szCs w:val="24"/>
          <w:u w:val="single"/>
        </w:rPr>
        <w:t xml:space="preserve">监理人为本工程编制的监理部文件、监理大纲、实施细则和相关文件   </w:t>
      </w:r>
    </w:p>
    <w:p>
      <w:pPr>
        <w:keepNext w:val="0"/>
        <w:keepLines w:val="0"/>
        <w:pageBreakBefore w:val="0"/>
        <w:kinsoku/>
        <w:wordWrap/>
        <w:overflowPunct/>
        <w:topLinePunct w:val="0"/>
        <w:bidi w:val="0"/>
        <w:spacing w:line="360" w:lineRule="auto"/>
        <w:textAlignment w:val="auto"/>
        <w:rPr>
          <w:rFonts w:hint="eastAsia" w:ascii="宋体" w:hAnsi="宋体" w:eastAsia="宋体" w:cs="宋体"/>
          <w:color w:val="000000"/>
          <w:sz w:val="24"/>
          <w:szCs w:val="24"/>
        </w:rPr>
      </w:pPr>
      <w:r>
        <w:rPr>
          <w:rFonts w:hint="eastAsia" w:ascii="宋体" w:hAnsi="宋体" w:eastAsia="宋体" w:cs="宋体"/>
          <w:b/>
          <w:color w:val="000000"/>
          <w:sz w:val="24"/>
          <w:szCs w:val="24"/>
        </w:rPr>
        <w:t xml:space="preserve"> 第三条  </w:t>
      </w:r>
      <w:r>
        <w:rPr>
          <w:rFonts w:hint="eastAsia" w:ascii="宋体" w:hAnsi="宋体" w:eastAsia="宋体" w:cs="宋体"/>
          <w:color w:val="000000"/>
          <w:sz w:val="24"/>
          <w:szCs w:val="24"/>
        </w:rPr>
        <w:t>监理范围和监理工作内容</w:t>
      </w:r>
    </w:p>
    <w:p>
      <w:pPr>
        <w:keepNext w:val="0"/>
        <w:keepLines w:val="0"/>
        <w:pageBreakBefore w:val="0"/>
        <w:kinsoku/>
        <w:wordWrap/>
        <w:overflowPunct/>
        <w:topLinePunct w:val="0"/>
        <w:bidi w:val="0"/>
        <w:spacing w:line="360" w:lineRule="auto"/>
        <w:ind w:left="147" w:leftChars="67"/>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1）监理范围：</w:t>
      </w:r>
    </w:p>
    <w:p>
      <w:pPr>
        <w:keepNext w:val="0"/>
        <w:keepLines w:val="0"/>
        <w:pageBreakBefore w:val="0"/>
        <w:kinsoku/>
        <w:wordWrap/>
        <w:overflowPunct/>
        <w:topLinePunct w:val="0"/>
        <w:bidi w:val="0"/>
        <w:spacing w:line="360" w:lineRule="auto"/>
        <w:ind w:left="147" w:leftChars="67" w:firstLine="723" w:firstLineChars="300"/>
        <w:textAlignment w:val="auto"/>
        <w:rPr>
          <w:rFonts w:hint="eastAsia" w:ascii="宋体" w:hAnsi="宋体" w:eastAsia="宋体" w:cs="宋体"/>
          <w:b/>
          <w:sz w:val="24"/>
          <w:szCs w:val="24"/>
          <w:u w:val="single"/>
        </w:rPr>
      </w:pPr>
      <w:r>
        <w:rPr>
          <w:rFonts w:hint="eastAsia" w:ascii="宋体" w:hAnsi="宋体" w:eastAsia="宋体" w:cs="宋体"/>
          <w:b/>
          <w:sz w:val="24"/>
          <w:szCs w:val="24"/>
          <w:u w:val="single"/>
        </w:rPr>
        <w:t>接受发包人委托开展项目前期工作，办理相关建设手续，参与本工程的施工准备阶段（包括项目的立项、可研、环评、用地许可证、招投标、施工许可证等）、接受招标人安排履行项目各项前期手续，施工阶段、竣工结算阶段、保修阶段（缺陷责任期）的全过程监理服务，以及国家法律法规规定的其他监理服务，对工程进行进度、质量、投资、安全、节能五控制和合同管理、信息管理、安全生产监督及协调施工现场各方关系等。</w:t>
      </w:r>
    </w:p>
    <w:p>
      <w:pPr>
        <w:keepNext w:val="0"/>
        <w:keepLines w:val="0"/>
        <w:pageBreakBefore w:val="0"/>
        <w:kinsoku/>
        <w:wordWrap/>
        <w:overflowPunct/>
        <w:topLinePunct w:val="0"/>
        <w:bidi w:val="0"/>
        <w:spacing w:line="360" w:lineRule="auto"/>
        <w:ind w:left="147" w:leftChars="67"/>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2）监理工作内容</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u w:val="single"/>
        </w:rPr>
        <w:t xml:space="preserve">1、协助委托人与施工单位签定施工合同；                            </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rPr>
        <w:t xml:space="preserve">2、协助委托人做好项目前期以及开共建设等相关工作；                </w:t>
      </w:r>
    </w:p>
    <w:p>
      <w:pPr>
        <w:keepNext w:val="0"/>
        <w:keepLines w:val="0"/>
        <w:pageBreakBefore w:val="0"/>
        <w:kinsoku/>
        <w:wordWrap/>
        <w:overflowPunct/>
        <w:topLinePunct w:val="0"/>
        <w:bidi w:val="0"/>
        <w:spacing w:line="360" w:lineRule="auto"/>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u w:val="single"/>
        </w:rPr>
        <w:t xml:space="preserve">3、审定施工单位的施工组织设计，并编写有针对性的监理细则；        </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rPr>
        <w:t xml:space="preserve">4、协调各施工单位各工种间的配合；                                </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rPr>
        <w:t>5、参与有关材料、设备供货厂家的考察、订货及生产过程的监督检查；检验其合格证、质保书及试验报告等；核定施工单位开具的材料设备清单，检查工程所用材料、构件、设备的规格、质量、数量，并对质量有疑问的材料，采取实物抽样复试，不合格的材料不得用于工程。材料的价格控制，已购材料、设备价格的签证。</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rPr>
        <w:t>6、主持工程图纸会审，确认工程设计变更及签证、核定工程量，且每周定期主持召开监理例会，并整理会议纪要。监理部须每周向业主书面报送工程进度、存在问题及赶工措施，若非业主单位的原因经监理批准的施工计划总体进度滞后一周以上时，将停止监理费的支付。</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rPr>
        <w:t>7、审定施工进度计划，督促工程施工进度。负责检查工程质量，采取实物见证送样，抽样数据并记录。</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rPr>
        <w:t>8、组织工程初验，并提出整改意见报委托人，最后参加工程竣工验收，并由总监签署竣工报告。</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rPr>
        <w:t>9、督促履行工程承包合同，主持协商合同条款变更，协调双方的争议。</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rPr>
        <w:t>10、根据合同付款方法，由总监出具工程付款签证。定期报送监理月报，记录监理日志。根据情况需要，不定期出具监理业务范围内的专项报告（包括质量分析报告）。</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rPr>
        <w:t>11、核定工程变更工程量及价款，须经业主认可后生效。</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rPr>
        <w:t>12、督促施工承包单位依约进行工程验收及保修。</w:t>
      </w:r>
    </w:p>
    <w:p>
      <w:pPr>
        <w:keepNext w:val="0"/>
        <w:keepLines w:val="0"/>
        <w:pageBreakBefore w:val="0"/>
        <w:kinsoku/>
        <w:wordWrap/>
        <w:overflowPunct/>
        <w:topLinePunct w:val="0"/>
        <w:bidi w:val="0"/>
        <w:spacing w:line="360" w:lineRule="auto"/>
        <w:textAlignment w:val="auto"/>
        <w:rPr>
          <w:rFonts w:hint="eastAsia" w:ascii="宋体" w:hAnsi="宋体" w:eastAsia="宋体" w:cs="宋体"/>
          <w:color w:val="000000"/>
          <w:sz w:val="24"/>
          <w:szCs w:val="24"/>
          <w:u w:val="single"/>
        </w:rPr>
      </w:pPr>
      <w:r>
        <w:rPr>
          <w:rFonts w:hint="eastAsia" w:ascii="宋体" w:hAnsi="宋体" w:eastAsia="宋体" w:cs="宋体"/>
          <w:b/>
          <w:color w:val="000000"/>
          <w:sz w:val="24"/>
          <w:szCs w:val="24"/>
        </w:rPr>
        <w:t xml:space="preserve">第四条  </w:t>
      </w:r>
      <w:r>
        <w:rPr>
          <w:rFonts w:hint="eastAsia" w:ascii="宋体" w:hAnsi="宋体" w:eastAsia="宋体" w:cs="宋体"/>
          <w:color w:val="000000"/>
          <w:sz w:val="24"/>
          <w:szCs w:val="24"/>
        </w:rPr>
        <w:t>外部条件包括：</w:t>
      </w:r>
      <w:r>
        <w:rPr>
          <w:rFonts w:hint="eastAsia" w:ascii="宋体" w:hAnsi="宋体" w:eastAsia="宋体" w:cs="宋体"/>
          <w:color w:val="000000"/>
          <w:sz w:val="24"/>
          <w:szCs w:val="24"/>
          <w:u w:val="single"/>
        </w:rPr>
        <w:t xml:space="preserve">          无               </w:t>
      </w:r>
    </w:p>
    <w:p>
      <w:pPr>
        <w:keepNext w:val="0"/>
        <w:keepLines w:val="0"/>
        <w:pageBreakBefore w:val="0"/>
        <w:kinsoku/>
        <w:wordWrap/>
        <w:overflowPunct/>
        <w:topLinePunct w:val="0"/>
        <w:bidi w:val="0"/>
        <w:spacing w:line="360" w:lineRule="auto"/>
        <w:textAlignment w:val="auto"/>
        <w:rPr>
          <w:rFonts w:hint="eastAsia" w:ascii="宋体" w:hAnsi="宋体" w:eastAsia="宋体" w:cs="宋体"/>
          <w:color w:val="000000"/>
          <w:sz w:val="24"/>
          <w:szCs w:val="24"/>
        </w:rPr>
      </w:pPr>
      <w:r>
        <w:rPr>
          <w:rFonts w:hint="eastAsia" w:ascii="宋体" w:hAnsi="宋体" w:eastAsia="宋体" w:cs="宋体"/>
          <w:b/>
          <w:color w:val="000000"/>
          <w:sz w:val="24"/>
          <w:szCs w:val="24"/>
        </w:rPr>
        <w:t>第五条　</w:t>
      </w:r>
      <w:r>
        <w:rPr>
          <w:rFonts w:hint="eastAsia" w:ascii="宋体" w:hAnsi="宋体" w:eastAsia="宋体" w:cs="宋体"/>
          <w:color w:val="000000"/>
          <w:sz w:val="24"/>
          <w:szCs w:val="24"/>
        </w:rPr>
        <w:t>委托人应提供的工程资料及提供时间：</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1、提供项目立项批文和工程地质勘察报告；</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2、在开工前提供交易文件、工程量清单及控制价、施工图设计文件及与本工程相关文件。</w:t>
      </w:r>
    </w:p>
    <w:p>
      <w:pPr>
        <w:keepNext w:val="0"/>
        <w:keepLines w:val="0"/>
        <w:pageBreakBefore w:val="0"/>
        <w:kinsoku/>
        <w:wordWrap/>
        <w:overflowPunct/>
        <w:topLinePunct w:val="0"/>
        <w:bidi w:val="0"/>
        <w:spacing w:line="360" w:lineRule="auto"/>
        <w:textAlignment w:val="auto"/>
        <w:rPr>
          <w:rFonts w:hint="eastAsia" w:ascii="宋体" w:hAnsi="宋体" w:eastAsia="宋体" w:cs="宋体"/>
          <w:color w:val="000000"/>
          <w:sz w:val="24"/>
          <w:szCs w:val="24"/>
        </w:rPr>
      </w:pPr>
      <w:r>
        <w:rPr>
          <w:rFonts w:hint="eastAsia" w:ascii="宋体" w:hAnsi="宋体" w:eastAsia="宋体" w:cs="宋体"/>
          <w:b/>
          <w:color w:val="000000"/>
          <w:sz w:val="24"/>
          <w:szCs w:val="24"/>
        </w:rPr>
        <w:t>第六条</w:t>
      </w:r>
      <w:r>
        <w:rPr>
          <w:rFonts w:hint="eastAsia" w:ascii="宋体" w:hAnsi="宋体" w:eastAsia="宋体" w:cs="宋体"/>
          <w:color w:val="000000"/>
          <w:sz w:val="24"/>
          <w:szCs w:val="24"/>
        </w:rPr>
        <w:t>　委托人应在</w:t>
      </w:r>
      <w:r>
        <w:rPr>
          <w:rFonts w:hint="eastAsia" w:ascii="宋体" w:hAnsi="宋体" w:eastAsia="宋体" w:cs="宋体"/>
          <w:color w:val="000000"/>
          <w:sz w:val="24"/>
          <w:szCs w:val="24"/>
          <w:u w:val="single"/>
        </w:rPr>
        <w:t xml:space="preserve">  3  </w:t>
      </w:r>
      <w:r>
        <w:rPr>
          <w:rFonts w:hint="eastAsia" w:ascii="宋体" w:hAnsi="宋体" w:eastAsia="宋体" w:cs="宋体"/>
          <w:color w:val="000000"/>
          <w:sz w:val="24"/>
          <w:szCs w:val="24"/>
        </w:rPr>
        <w:t>天内对监理人书面提交并要求作出决定的事宜作出书面答复。</w:t>
      </w:r>
    </w:p>
    <w:p>
      <w:pPr>
        <w:keepNext w:val="0"/>
        <w:keepLines w:val="0"/>
        <w:pageBreakBefore w:val="0"/>
        <w:kinsoku/>
        <w:wordWrap/>
        <w:overflowPunct/>
        <w:topLinePunct w:val="0"/>
        <w:bidi w:val="0"/>
        <w:spacing w:line="360" w:lineRule="auto"/>
        <w:textAlignment w:val="auto"/>
        <w:rPr>
          <w:rFonts w:hint="eastAsia" w:ascii="宋体" w:hAnsi="宋体" w:eastAsia="宋体" w:cs="宋体"/>
          <w:color w:val="000000"/>
          <w:sz w:val="24"/>
          <w:szCs w:val="24"/>
          <w:u w:val="single"/>
        </w:rPr>
      </w:pPr>
      <w:r>
        <w:rPr>
          <w:rFonts w:hint="eastAsia" w:ascii="宋体" w:hAnsi="宋体" w:eastAsia="宋体" w:cs="宋体"/>
          <w:b/>
          <w:color w:val="000000"/>
          <w:sz w:val="24"/>
          <w:szCs w:val="24"/>
        </w:rPr>
        <w:t>第七条</w:t>
      </w:r>
      <w:r>
        <w:rPr>
          <w:rFonts w:hint="eastAsia" w:ascii="宋体" w:hAnsi="宋体" w:eastAsia="宋体" w:cs="宋体"/>
          <w:color w:val="000000"/>
          <w:sz w:val="24"/>
          <w:szCs w:val="24"/>
        </w:rPr>
        <w:t>　委托人的常驻代表为</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 xml:space="preserve">             </w:t>
      </w:r>
      <w:r>
        <w:rPr>
          <w:rFonts w:hint="eastAsia" w:ascii="宋体" w:hAnsi="宋体" w:eastAsia="宋体" w:cs="宋体"/>
          <w:color w:val="000000"/>
          <w:sz w:val="24"/>
          <w:szCs w:val="24"/>
          <w:u w:val="single"/>
        </w:rPr>
        <w:t xml:space="preserve">    。</w:t>
      </w:r>
    </w:p>
    <w:p>
      <w:pPr>
        <w:keepNext w:val="0"/>
        <w:keepLines w:val="0"/>
        <w:pageBreakBefore w:val="0"/>
        <w:kinsoku/>
        <w:wordWrap/>
        <w:overflowPunct/>
        <w:topLinePunct w:val="0"/>
        <w:bidi w:val="0"/>
        <w:spacing w:line="360" w:lineRule="auto"/>
        <w:textAlignment w:val="auto"/>
        <w:rPr>
          <w:rFonts w:hint="eastAsia" w:ascii="宋体" w:hAnsi="宋体" w:eastAsia="宋体" w:cs="宋体"/>
          <w:color w:val="000000"/>
          <w:sz w:val="24"/>
          <w:szCs w:val="24"/>
        </w:rPr>
      </w:pPr>
      <w:r>
        <w:rPr>
          <w:rFonts w:hint="eastAsia" w:ascii="宋体" w:hAnsi="宋体" w:eastAsia="宋体" w:cs="宋体"/>
          <w:b/>
          <w:color w:val="000000"/>
          <w:sz w:val="24"/>
          <w:szCs w:val="24"/>
        </w:rPr>
        <w:t>第八条</w:t>
      </w:r>
      <w:r>
        <w:rPr>
          <w:rFonts w:hint="eastAsia" w:ascii="宋体" w:hAnsi="宋体" w:eastAsia="宋体" w:cs="宋体"/>
          <w:color w:val="000000"/>
          <w:sz w:val="24"/>
          <w:szCs w:val="24"/>
        </w:rPr>
        <w:t xml:space="preserve">  委托人免费向监理机构提供如下设施：</w:t>
      </w:r>
      <w:r>
        <w:rPr>
          <w:rFonts w:hint="eastAsia" w:ascii="宋体" w:hAnsi="宋体" w:eastAsia="宋体" w:cs="宋体"/>
          <w:color w:val="000000"/>
          <w:sz w:val="24"/>
          <w:szCs w:val="24"/>
          <w:u w:val="single"/>
        </w:rPr>
        <w:t xml:space="preserve">        /         </w:t>
      </w:r>
      <w:r>
        <w:rPr>
          <w:rFonts w:hint="eastAsia" w:ascii="宋体" w:hAnsi="宋体" w:eastAsia="宋体" w:cs="宋体"/>
          <w:color w:val="000000"/>
          <w:sz w:val="24"/>
          <w:szCs w:val="24"/>
        </w:rPr>
        <w:t>。</w:t>
      </w:r>
    </w:p>
    <w:p>
      <w:pPr>
        <w:keepNext w:val="0"/>
        <w:keepLines w:val="0"/>
        <w:pageBreakBefore w:val="0"/>
        <w:kinsoku/>
        <w:wordWrap/>
        <w:overflowPunct/>
        <w:topLinePunct w:val="0"/>
        <w:bidi w:val="0"/>
        <w:spacing w:line="36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监理人自备的，委托人给予补偿的设施如下：</w:t>
      </w:r>
      <w:r>
        <w:rPr>
          <w:rFonts w:hint="eastAsia" w:ascii="宋体" w:hAnsi="宋体" w:eastAsia="宋体" w:cs="宋体"/>
          <w:color w:val="000000"/>
          <w:sz w:val="24"/>
          <w:szCs w:val="24"/>
          <w:u w:val="single"/>
        </w:rPr>
        <w:t xml:space="preserve">     /         </w:t>
      </w:r>
      <w:r>
        <w:rPr>
          <w:rFonts w:hint="eastAsia" w:ascii="宋体" w:hAnsi="宋体" w:eastAsia="宋体" w:cs="宋体"/>
          <w:color w:val="000000"/>
          <w:sz w:val="24"/>
          <w:szCs w:val="24"/>
        </w:rPr>
        <w:t>。</w:t>
      </w:r>
    </w:p>
    <w:p>
      <w:pPr>
        <w:keepNext w:val="0"/>
        <w:keepLines w:val="0"/>
        <w:pageBreakBefore w:val="0"/>
        <w:kinsoku/>
        <w:wordWrap/>
        <w:overflowPunct/>
        <w:topLinePunct w:val="0"/>
        <w:bidi w:val="0"/>
        <w:spacing w:line="36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补偿金额：</w:t>
      </w:r>
      <w:r>
        <w:rPr>
          <w:rFonts w:hint="eastAsia" w:ascii="宋体" w:hAnsi="宋体" w:eastAsia="宋体" w:cs="宋体"/>
          <w:color w:val="000000"/>
          <w:sz w:val="24"/>
          <w:szCs w:val="24"/>
          <w:u w:val="single"/>
        </w:rPr>
        <w:t xml:space="preserve">   /       </w:t>
      </w:r>
      <w:r>
        <w:rPr>
          <w:rFonts w:hint="eastAsia" w:ascii="宋体" w:hAnsi="宋体" w:eastAsia="宋体" w:cs="宋体"/>
          <w:color w:val="000000"/>
          <w:sz w:val="24"/>
          <w:szCs w:val="24"/>
        </w:rPr>
        <w:t>。</w:t>
      </w:r>
    </w:p>
    <w:p>
      <w:pPr>
        <w:keepNext w:val="0"/>
        <w:keepLines w:val="0"/>
        <w:pageBreakBefore w:val="0"/>
        <w:kinsoku/>
        <w:wordWrap/>
        <w:overflowPunct/>
        <w:topLinePunct w:val="0"/>
        <w:bidi w:val="0"/>
        <w:spacing w:line="360" w:lineRule="auto"/>
        <w:textAlignment w:val="auto"/>
        <w:rPr>
          <w:rFonts w:hint="eastAsia" w:ascii="宋体" w:hAnsi="宋体" w:eastAsia="宋体" w:cs="宋体"/>
          <w:color w:val="000000"/>
          <w:sz w:val="24"/>
          <w:szCs w:val="24"/>
        </w:rPr>
      </w:pPr>
      <w:r>
        <w:rPr>
          <w:rFonts w:hint="eastAsia" w:ascii="宋体" w:hAnsi="宋体" w:eastAsia="宋体" w:cs="宋体"/>
          <w:b/>
          <w:color w:val="000000"/>
          <w:sz w:val="24"/>
          <w:szCs w:val="24"/>
        </w:rPr>
        <w:t xml:space="preserve">第九条  </w:t>
      </w:r>
      <w:r>
        <w:rPr>
          <w:rFonts w:hint="eastAsia" w:ascii="宋体" w:hAnsi="宋体" w:eastAsia="宋体" w:cs="宋体"/>
          <w:color w:val="000000"/>
          <w:sz w:val="24"/>
          <w:szCs w:val="24"/>
        </w:rPr>
        <w:t>在监理期间，委托人免费向监理机构提供</w:t>
      </w:r>
      <w:r>
        <w:rPr>
          <w:rFonts w:hint="eastAsia" w:ascii="宋体" w:hAnsi="宋体" w:eastAsia="宋体" w:cs="宋体"/>
          <w:color w:val="000000"/>
          <w:sz w:val="24"/>
          <w:szCs w:val="24"/>
          <w:u w:val="single"/>
        </w:rPr>
        <w:t xml:space="preserve">  /  </w:t>
      </w:r>
      <w:r>
        <w:rPr>
          <w:rFonts w:hint="eastAsia" w:ascii="宋体" w:hAnsi="宋体" w:eastAsia="宋体" w:cs="宋体"/>
          <w:color w:val="000000"/>
          <w:sz w:val="24"/>
          <w:szCs w:val="24"/>
        </w:rPr>
        <w:t>名工作人员，由总监理工程师安排其他工作，凡涉及服务时，此类职员只应从总监理工程师处接收指示。并免费提供</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名服务人员。监理机构应与此类服务的提供者合作，但不对此类人员及行为负责。</w:t>
      </w:r>
    </w:p>
    <w:p>
      <w:pPr>
        <w:keepNext w:val="0"/>
        <w:keepLines w:val="0"/>
        <w:pageBreakBefore w:val="0"/>
        <w:kinsoku/>
        <w:wordWrap/>
        <w:overflowPunct/>
        <w:topLinePunct w:val="0"/>
        <w:bidi w:val="0"/>
        <w:spacing w:line="360" w:lineRule="auto"/>
        <w:textAlignment w:val="auto"/>
        <w:rPr>
          <w:rFonts w:hint="eastAsia" w:ascii="宋体" w:hAnsi="宋体" w:eastAsia="宋体" w:cs="宋体"/>
          <w:color w:val="000000"/>
          <w:sz w:val="24"/>
          <w:szCs w:val="24"/>
        </w:rPr>
      </w:pPr>
      <w:r>
        <w:rPr>
          <w:rFonts w:hint="eastAsia" w:ascii="宋体" w:hAnsi="宋体" w:eastAsia="宋体" w:cs="宋体"/>
          <w:b/>
          <w:color w:val="000000"/>
          <w:sz w:val="24"/>
          <w:szCs w:val="24"/>
        </w:rPr>
        <w:t xml:space="preserve">第十条  </w:t>
      </w:r>
      <w:r>
        <w:rPr>
          <w:rFonts w:hint="eastAsia" w:ascii="宋体" w:hAnsi="宋体" w:eastAsia="宋体" w:cs="宋体"/>
          <w:color w:val="000000"/>
          <w:sz w:val="24"/>
          <w:szCs w:val="24"/>
        </w:rPr>
        <w:t>监理人在责任期间内如果失职，同意按以下办法承担责任，赔偿损失【累计赔偿额不超过监理报酬总数（税后）】：</w:t>
      </w:r>
    </w:p>
    <w:p>
      <w:pPr>
        <w:keepNext w:val="0"/>
        <w:keepLines w:val="0"/>
        <w:pageBreakBefore w:val="0"/>
        <w:kinsoku/>
        <w:wordWrap/>
        <w:overflowPunct/>
        <w:topLinePunct w:val="0"/>
        <w:bidi w:val="0"/>
        <w:spacing w:line="360" w:lineRule="auto"/>
        <w:ind w:firstLine="57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赔偿金=直接经济损失×报酬比例（扣除税金）</w:t>
      </w:r>
    </w:p>
    <w:p>
      <w:pPr>
        <w:keepNext w:val="0"/>
        <w:keepLines w:val="0"/>
        <w:pageBreakBefore w:val="0"/>
        <w:widowControl/>
        <w:tabs>
          <w:tab w:val="left" w:pos="3675"/>
        </w:tabs>
        <w:kinsoku/>
        <w:wordWrap/>
        <w:overflowPunct/>
        <w:topLinePunct w:val="0"/>
        <w:bidi w:val="0"/>
        <w:spacing w:line="360" w:lineRule="auto"/>
        <w:jc w:val="left"/>
        <w:textAlignment w:val="auto"/>
        <w:rPr>
          <w:rFonts w:hint="eastAsia" w:ascii="宋体" w:hAnsi="宋体" w:eastAsia="宋体" w:cs="宋体"/>
          <w:color w:val="000000"/>
          <w:sz w:val="24"/>
          <w:szCs w:val="24"/>
        </w:rPr>
      </w:pPr>
      <w:r>
        <w:rPr>
          <w:rFonts w:hint="eastAsia" w:ascii="宋体" w:hAnsi="宋体" w:eastAsia="宋体" w:cs="宋体"/>
          <w:b/>
          <w:color w:val="000000"/>
          <w:sz w:val="24"/>
          <w:szCs w:val="24"/>
        </w:rPr>
        <w:t xml:space="preserve">第十一条  </w:t>
      </w:r>
      <w:r>
        <w:rPr>
          <w:rFonts w:hint="eastAsia" w:ascii="宋体" w:hAnsi="宋体" w:eastAsia="宋体" w:cs="宋体"/>
          <w:color w:val="000000"/>
          <w:sz w:val="24"/>
          <w:szCs w:val="24"/>
        </w:rPr>
        <w:t>委托人同意按以下的计算方法、支付时间与金额，支付监理人的报酬：</w:t>
      </w:r>
    </w:p>
    <w:p>
      <w:pPr>
        <w:keepNext w:val="0"/>
        <w:keepLines w:val="0"/>
        <w:pageBreakBefore w:val="0"/>
        <w:widowControl/>
        <w:tabs>
          <w:tab w:val="left" w:pos="3675"/>
        </w:tabs>
        <w:kinsoku/>
        <w:wordWrap/>
        <w:overflowPunct/>
        <w:topLinePunct w:val="0"/>
        <w:bidi w:val="0"/>
        <w:spacing w:line="360" w:lineRule="auto"/>
        <w:ind w:firstLine="470" w:firstLineChars="195"/>
        <w:jc w:val="left"/>
        <w:textAlignment w:val="auto"/>
        <w:rPr>
          <w:rFonts w:hint="eastAsia" w:ascii="宋体" w:hAnsi="宋体" w:eastAsia="宋体" w:cs="宋体"/>
          <w:sz w:val="24"/>
          <w:szCs w:val="24"/>
        </w:rPr>
      </w:pPr>
      <w:r>
        <w:rPr>
          <w:rFonts w:hint="eastAsia" w:cs="宋体"/>
          <w:b/>
          <w:color w:val="FF0000"/>
          <w:sz w:val="24"/>
          <w:szCs w:val="24"/>
          <w:u w:val="single"/>
          <w:lang w:val="en-US" w:eastAsia="zh-CN"/>
        </w:rPr>
        <w:t>监理费用计算方式：本工程施工审计结算价</w:t>
      </w:r>
      <w:r>
        <w:rPr>
          <w:rFonts w:hint="eastAsia" w:ascii="宋体" w:hAnsi="宋体" w:eastAsia="宋体" w:cs="宋体"/>
          <w:b/>
          <w:color w:val="FF0000"/>
          <w:sz w:val="24"/>
          <w:szCs w:val="24"/>
          <w:u w:val="single"/>
        </w:rPr>
        <w:t>×</w:t>
      </w:r>
      <w:r>
        <w:rPr>
          <w:rFonts w:hint="eastAsia" w:cs="宋体"/>
          <w:b/>
          <w:color w:val="FF0000"/>
          <w:sz w:val="24"/>
          <w:szCs w:val="24"/>
          <w:u w:val="single"/>
          <w:lang w:val="en-US" w:eastAsia="zh-CN"/>
        </w:rPr>
        <w:t xml:space="preserve">      （中标费率）</w:t>
      </w:r>
      <w:r>
        <w:rPr>
          <w:rFonts w:hint="eastAsia" w:ascii="宋体" w:hAnsi="宋体" w:eastAsia="宋体" w:cs="宋体"/>
          <w:b/>
          <w:color w:val="FF0000"/>
          <w:sz w:val="24"/>
          <w:szCs w:val="24"/>
          <w:u w:val="single"/>
        </w:rPr>
        <w:t>计算</w:t>
      </w:r>
      <w:r>
        <w:rPr>
          <w:rFonts w:hint="eastAsia" w:ascii="宋体" w:hAnsi="宋体" w:eastAsia="宋体" w:cs="宋体"/>
          <w:b/>
          <w:color w:val="FF0000"/>
          <w:sz w:val="24"/>
          <w:szCs w:val="24"/>
          <w:u w:val="single"/>
          <w:lang w:eastAsia="zh-CN"/>
        </w:rPr>
        <w:t>。</w:t>
      </w:r>
      <w:r>
        <w:rPr>
          <w:rFonts w:hint="eastAsia" w:ascii="宋体" w:hAnsi="宋体" w:eastAsia="宋体" w:cs="宋体"/>
          <w:b/>
          <w:color w:val="FF0000"/>
          <w:sz w:val="24"/>
          <w:szCs w:val="24"/>
          <w:u w:val="single"/>
        </w:rPr>
        <w:t>本工程监理费用=初期暂按施工中标价为计算额计算监理费，最终支付以审计结算总造价作为计算额。无论任何原因导致的工期延长，委托人均不再增加监理费用。</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委托人同意按以下计算方法、支付时间与金额，支付附件工作报酬：（酬金=（附件工作日数）×合同报酬/监理服务日。</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rPr>
        <w:t xml:space="preserve">                  /                                               </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委托人同意按以下的计算方法、支付时间与金额，支付额外工作报酬：  </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rPr>
        <w:t xml:space="preserve">                  /                                                </w:t>
      </w:r>
    </w:p>
    <w:p>
      <w:pPr>
        <w:keepNext w:val="0"/>
        <w:keepLines w:val="0"/>
        <w:pageBreakBefore w:val="0"/>
        <w:kinsoku/>
        <w:wordWrap/>
        <w:overflowPunct/>
        <w:topLinePunct w:val="0"/>
        <w:bidi w:val="0"/>
        <w:spacing w:line="360" w:lineRule="auto"/>
        <w:textAlignment w:val="auto"/>
        <w:rPr>
          <w:rFonts w:hint="eastAsia" w:ascii="宋体" w:hAnsi="宋体" w:eastAsia="宋体" w:cs="宋体"/>
          <w:color w:val="000000"/>
          <w:sz w:val="24"/>
          <w:szCs w:val="24"/>
        </w:rPr>
      </w:pPr>
      <w:r>
        <w:rPr>
          <w:rFonts w:hint="eastAsia" w:ascii="宋体" w:hAnsi="宋体" w:eastAsia="宋体" w:cs="宋体"/>
          <w:b/>
          <w:color w:val="000000"/>
          <w:sz w:val="24"/>
          <w:szCs w:val="24"/>
        </w:rPr>
        <w:t>第十二条</w:t>
      </w:r>
      <w:r>
        <w:rPr>
          <w:rFonts w:hint="eastAsia" w:ascii="宋体" w:hAnsi="宋体" w:eastAsia="宋体" w:cs="宋体"/>
          <w:color w:val="000000"/>
          <w:sz w:val="24"/>
          <w:szCs w:val="24"/>
        </w:rPr>
        <w:t>　双方同意用</w:t>
      </w:r>
      <w:r>
        <w:rPr>
          <w:rFonts w:hint="eastAsia" w:ascii="宋体" w:hAnsi="宋体" w:eastAsia="宋体" w:cs="宋体"/>
          <w:color w:val="000000"/>
          <w:sz w:val="24"/>
          <w:szCs w:val="24"/>
          <w:u w:val="single"/>
        </w:rPr>
        <w:t>人民币</w:t>
      </w:r>
      <w:r>
        <w:rPr>
          <w:rFonts w:hint="eastAsia" w:ascii="宋体" w:hAnsi="宋体" w:eastAsia="宋体" w:cs="宋体"/>
          <w:color w:val="000000"/>
          <w:sz w:val="24"/>
          <w:szCs w:val="24"/>
        </w:rPr>
        <w:t>支付报酬，按</w:t>
      </w:r>
      <w:r>
        <w:rPr>
          <w:rFonts w:hint="eastAsia" w:ascii="宋体" w:hAnsi="宋体" w:eastAsia="宋体" w:cs="宋体"/>
          <w:color w:val="000000"/>
          <w:sz w:val="24"/>
          <w:szCs w:val="24"/>
          <w:u w:val="single"/>
        </w:rPr>
        <w:t xml:space="preserve">  /   </w:t>
      </w:r>
      <w:r>
        <w:rPr>
          <w:rFonts w:hint="eastAsia" w:ascii="宋体" w:hAnsi="宋体" w:eastAsia="宋体" w:cs="宋体"/>
          <w:color w:val="000000"/>
          <w:sz w:val="24"/>
          <w:szCs w:val="24"/>
        </w:rPr>
        <w:t xml:space="preserve">汇率计付。       </w:t>
      </w:r>
    </w:p>
    <w:p>
      <w:pPr>
        <w:keepNext w:val="0"/>
        <w:keepLines w:val="0"/>
        <w:pageBreakBefore w:val="0"/>
        <w:kinsoku/>
        <w:wordWrap/>
        <w:overflowPunct/>
        <w:topLinePunct w:val="0"/>
        <w:bidi w:val="0"/>
        <w:spacing w:line="360" w:lineRule="auto"/>
        <w:textAlignment w:val="auto"/>
        <w:rPr>
          <w:rFonts w:hint="eastAsia" w:ascii="宋体" w:hAnsi="宋体" w:eastAsia="宋体" w:cs="宋体"/>
          <w:color w:val="000000"/>
          <w:sz w:val="24"/>
          <w:szCs w:val="24"/>
        </w:rPr>
      </w:pPr>
      <w:r>
        <w:rPr>
          <w:rFonts w:hint="eastAsia" w:ascii="宋体" w:hAnsi="宋体" w:eastAsia="宋体" w:cs="宋体"/>
          <w:b/>
          <w:color w:val="000000"/>
          <w:sz w:val="24"/>
          <w:szCs w:val="24"/>
        </w:rPr>
        <w:t>第十三条</w:t>
      </w:r>
      <w:r>
        <w:rPr>
          <w:rFonts w:hint="eastAsia" w:ascii="宋体" w:hAnsi="宋体" w:eastAsia="宋体" w:cs="宋体"/>
          <w:color w:val="000000"/>
          <w:sz w:val="24"/>
          <w:szCs w:val="24"/>
        </w:rPr>
        <w:t>　本合同在履行过程中发生争议时，当事人双方应及时协商解决。协商不成的按下列第</w:t>
      </w:r>
      <w:r>
        <w:rPr>
          <w:rFonts w:hint="eastAsia" w:ascii="宋体" w:hAnsi="宋体" w:eastAsia="宋体" w:cs="宋体"/>
          <w:b/>
          <w:color w:val="000000"/>
          <w:sz w:val="24"/>
          <w:szCs w:val="24"/>
          <w:u w:val="single"/>
        </w:rPr>
        <w:t xml:space="preserve">  二</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种方式解决：</w:t>
      </w:r>
    </w:p>
    <w:p>
      <w:pPr>
        <w:keepNext w:val="0"/>
        <w:keepLines w:val="0"/>
        <w:pageBreakBefore w:val="0"/>
        <w:kinsoku/>
        <w:wordWrap/>
        <w:overflowPunct/>
        <w:topLinePunct w:val="0"/>
        <w:bidi w:val="0"/>
        <w:spacing w:line="360" w:lineRule="auto"/>
        <w:ind w:firstLine="57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（一）提交</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仲裁委员会仲裁；</w:t>
      </w:r>
    </w:p>
    <w:p>
      <w:pPr>
        <w:keepNext w:val="0"/>
        <w:keepLines w:val="0"/>
        <w:pageBreakBefore w:val="0"/>
        <w:kinsoku/>
        <w:wordWrap/>
        <w:overflowPunct/>
        <w:topLinePunct w:val="0"/>
        <w:bidi w:val="0"/>
        <w:spacing w:line="360" w:lineRule="auto"/>
        <w:ind w:firstLine="57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（二）依法向人民法院起诉。</w:t>
      </w:r>
    </w:p>
    <w:p>
      <w:pPr>
        <w:keepNext w:val="0"/>
        <w:keepLines w:val="0"/>
        <w:pageBreakBefore w:val="0"/>
        <w:kinsoku/>
        <w:wordWrap/>
        <w:overflowPunct/>
        <w:topLinePunct w:val="0"/>
        <w:bidi w:val="0"/>
        <w:spacing w:line="360" w:lineRule="auto"/>
        <w:textAlignment w:val="auto"/>
        <w:rPr>
          <w:rFonts w:hint="eastAsia" w:ascii="宋体" w:hAnsi="宋体" w:eastAsia="宋体" w:cs="宋体"/>
          <w:color w:val="000000"/>
          <w:sz w:val="24"/>
          <w:szCs w:val="24"/>
        </w:rPr>
      </w:pPr>
    </w:p>
    <w:p>
      <w:pPr>
        <w:pStyle w:val="2"/>
        <w:keepNext w:val="0"/>
        <w:keepLines w:val="0"/>
        <w:pageBreakBefore w:val="0"/>
        <w:kinsoku/>
        <w:wordWrap/>
        <w:overflowPunct/>
        <w:topLinePunct w:val="0"/>
        <w:bidi w:val="0"/>
        <w:spacing w:line="360" w:lineRule="auto"/>
        <w:jc w:val="center"/>
        <w:textAlignment w:val="auto"/>
        <w:outlineLvl w:val="0"/>
        <w:rPr>
          <w:rFonts w:hint="eastAsia" w:ascii="宋体" w:hAnsi="宋体" w:eastAsia="宋体" w:cs="宋体"/>
          <w:sz w:val="24"/>
          <w:szCs w:val="24"/>
        </w:rPr>
      </w:pPr>
      <w:bookmarkStart w:id="63" w:name="_Toc346610487"/>
      <w:bookmarkStart w:id="64" w:name="_Toc31953"/>
      <w:r>
        <w:rPr>
          <w:rFonts w:hint="eastAsia" w:ascii="宋体" w:hAnsi="宋体" w:eastAsia="宋体" w:cs="宋体"/>
          <w:color w:val="000000"/>
          <w:sz w:val="24"/>
          <w:szCs w:val="24"/>
        </w:rPr>
        <w:t>第四部分</w:t>
      </w:r>
      <w:r>
        <w:rPr>
          <w:rFonts w:hint="eastAsia" w:ascii="宋体" w:hAnsi="宋体" w:eastAsia="宋体" w:cs="宋体"/>
          <w:sz w:val="24"/>
          <w:szCs w:val="24"/>
        </w:rPr>
        <w:t>主要补充条款</w:t>
      </w:r>
      <w:bookmarkEnd w:id="63"/>
      <w:bookmarkEnd w:id="64"/>
      <w:bookmarkStart w:id="65" w:name="_Toc346610488"/>
    </w:p>
    <w:p>
      <w:pPr>
        <w:pStyle w:val="27"/>
        <w:keepNext w:val="0"/>
        <w:keepLines w:val="0"/>
        <w:pageBreakBefore w:val="0"/>
        <w:widowControl/>
        <w:kinsoku/>
        <w:wordWrap/>
        <w:overflowPunct/>
        <w:topLinePunct w:val="0"/>
        <w:autoSpaceDE/>
        <w:autoSpaceDN/>
        <w:bidi w:val="0"/>
        <w:adjustRightInd/>
        <w:spacing w:before="0" w:after="0" w:line="360" w:lineRule="auto"/>
        <w:ind w:left="0" w:right="0" w:firstLine="360" w:firstLineChars="150"/>
        <w:textAlignment w:val="auto"/>
        <w:rPr>
          <w:rFonts w:hint="eastAsia" w:ascii="宋体" w:hAnsi="宋体" w:eastAsia="宋体" w:cs="宋体"/>
          <w:sz w:val="24"/>
          <w:szCs w:val="24"/>
          <w:u w:val="single"/>
        </w:rPr>
      </w:pPr>
      <w:r>
        <w:rPr>
          <w:rFonts w:hint="eastAsia" w:ascii="宋体" w:hAnsi="宋体" w:eastAsia="宋体" w:cs="宋体"/>
          <w:sz w:val="24"/>
          <w:szCs w:val="24"/>
        </w:rPr>
        <w:t xml:space="preserve">1、总监理工程师: </w:t>
      </w:r>
      <w:r>
        <w:rPr>
          <w:rFonts w:hint="eastAsia" w:ascii="宋体" w:hAnsi="宋体" w:eastAsia="宋体" w:cs="宋体"/>
          <w:sz w:val="24"/>
          <w:szCs w:val="24"/>
          <w:u w:val="single"/>
        </w:rPr>
        <w:t xml:space="preserve">  </w:t>
      </w:r>
      <w:r>
        <w:rPr>
          <w:rFonts w:hint="eastAsia" w:ascii="宋体" w:hAnsi="宋体" w:eastAsia="宋体" w:cs="宋体"/>
          <w:b/>
          <w:sz w:val="24"/>
          <w:szCs w:val="24"/>
          <w:u w:val="single"/>
        </w:rPr>
        <w:t xml:space="preserve">   </w:t>
      </w:r>
      <w:r>
        <w:rPr>
          <w:rFonts w:hint="eastAsia" w:ascii="宋体" w:hAnsi="宋体" w:eastAsia="宋体" w:cs="宋体"/>
          <w:sz w:val="24"/>
          <w:szCs w:val="24"/>
          <w:u w:val="single"/>
        </w:rPr>
        <w:t xml:space="preserve">   </w:t>
      </w:r>
    </w:p>
    <w:p>
      <w:pPr>
        <w:keepNext w:val="0"/>
        <w:keepLines w:val="0"/>
        <w:pageBreakBefore w:val="0"/>
        <w:kinsoku/>
        <w:wordWrap/>
        <w:overflowPunct/>
        <w:topLinePunct w:val="0"/>
        <w:bidi w:val="0"/>
        <w:spacing w:before="156" w:beforeLines="50" w:line="360" w:lineRule="auto"/>
        <w:ind w:firstLine="355" w:firstLineChars="148"/>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b/>
          <w:bCs/>
          <w:sz w:val="24"/>
          <w:szCs w:val="24"/>
        </w:rPr>
        <w:t>拟组建的监理部人员情况一览表</w:t>
      </w:r>
    </w:p>
    <w:tbl>
      <w:tblPr>
        <w:tblStyle w:val="20"/>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87"/>
        <w:gridCol w:w="788"/>
        <w:gridCol w:w="1155"/>
        <w:gridCol w:w="1540"/>
        <w:gridCol w:w="1540"/>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147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姓  名</w:t>
            </w:r>
          </w:p>
        </w:tc>
        <w:tc>
          <w:tcPr>
            <w:tcW w:w="787"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年龄</w:t>
            </w:r>
          </w:p>
        </w:tc>
        <w:tc>
          <w:tcPr>
            <w:tcW w:w="788"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性别</w:t>
            </w:r>
          </w:p>
        </w:tc>
        <w:tc>
          <w:tcPr>
            <w:tcW w:w="1155"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职称</w:t>
            </w:r>
          </w:p>
        </w:tc>
        <w:tc>
          <w:tcPr>
            <w:tcW w:w="154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拟任职务</w:t>
            </w:r>
          </w:p>
        </w:tc>
        <w:tc>
          <w:tcPr>
            <w:tcW w:w="154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持证名称</w:t>
            </w:r>
          </w:p>
        </w:tc>
        <w:tc>
          <w:tcPr>
            <w:tcW w:w="154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持证证号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147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787"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788"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1155"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154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154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154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147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787"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788"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1155"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154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154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154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147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787"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788"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1155"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154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154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154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147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787"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788"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1155"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154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154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154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147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787"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788"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1155"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154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154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154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147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787"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788"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1155"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154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154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154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147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787"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788"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1155"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154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154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154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r>
    </w:tbl>
    <w:p>
      <w:pPr>
        <w:keepNext w:val="0"/>
        <w:keepLines w:val="0"/>
        <w:pageBreakBefore w:val="0"/>
        <w:widowControl/>
        <w:kinsoku/>
        <w:wordWrap/>
        <w:overflowPunct/>
        <w:topLinePunct w:val="0"/>
        <w:bidi w:val="0"/>
        <w:spacing w:line="360" w:lineRule="auto"/>
        <w:ind w:firstLine="360" w:firstLineChars="150"/>
        <w:jc w:val="left"/>
        <w:textAlignment w:val="auto"/>
        <w:rPr>
          <w:rFonts w:hint="eastAsia" w:ascii="宋体" w:hAnsi="宋体" w:eastAsia="宋体" w:cs="宋体"/>
          <w:sz w:val="24"/>
          <w:szCs w:val="24"/>
        </w:rPr>
      </w:pPr>
      <w:r>
        <w:rPr>
          <w:rFonts w:hint="eastAsia" w:ascii="宋体" w:hAnsi="宋体" w:eastAsia="宋体" w:cs="宋体"/>
          <w:sz w:val="24"/>
          <w:szCs w:val="24"/>
        </w:rPr>
        <w:t>备注：以上人员情况根据项目的性质在签订监理合同时具体确定。</w:t>
      </w:r>
    </w:p>
    <w:p>
      <w:pPr>
        <w:pStyle w:val="11"/>
        <w:keepNext w:val="0"/>
        <w:keepLines w:val="0"/>
        <w:pageBreakBefore w:val="0"/>
        <w:kinsoku/>
        <w:wordWrap/>
        <w:overflowPunct/>
        <w:topLinePunct w:val="0"/>
        <w:bidi w:val="0"/>
        <w:snapToGrid w:val="0"/>
        <w:spacing w:line="360" w:lineRule="auto"/>
        <w:ind w:left="420" w:firstLine="361" w:firstLineChars="150"/>
        <w:jc w:val="left"/>
        <w:textAlignment w:val="auto"/>
        <w:rPr>
          <w:rFonts w:hint="eastAsia" w:ascii="宋体" w:hAnsi="宋体" w:eastAsia="宋体" w:cs="宋体"/>
          <w:color w:val="FF0000"/>
          <w:kern w:val="0"/>
          <w:sz w:val="24"/>
          <w:szCs w:val="24"/>
          <w:highlight w:val="none"/>
        </w:rPr>
      </w:pPr>
      <w:r>
        <w:rPr>
          <w:rFonts w:hint="eastAsia" w:ascii="宋体" w:hAnsi="宋体" w:eastAsia="宋体" w:cs="宋体"/>
          <w:b/>
          <w:color w:val="FF0000"/>
          <w:sz w:val="24"/>
          <w:szCs w:val="24"/>
          <w:highlight w:val="yellow"/>
        </w:rPr>
        <w:t>3、付款方式</w:t>
      </w:r>
      <w:r>
        <w:rPr>
          <w:rFonts w:hint="eastAsia" w:ascii="宋体" w:hAnsi="宋体" w:eastAsia="宋体" w:cs="宋体"/>
          <w:color w:val="FF0000"/>
          <w:sz w:val="24"/>
          <w:szCs w:val="24"/>
          <w:highlight w:val="yellow"/>
        </w:rPr>
        <w:t>：</w:t>
      </w:r>
      <w:r>
        <w:rPr>
          <w:rFonts w:hint="eastAsia" w:ascii="宋体" w:hAnsi="宋体" w:eastAsia="宋体" w:cs="宋体"/>
          <w:color w:val="FF0000"/>
          <w:kern w:val="0"/>
          <w:sz w:val="24"/>
          <w:szCs w:val="24"/>
          <w:highlight w:val="yellow"/>
        </w:rPr>
        <w:t>完成总体工程总量的50%及以上时，付至合同总价的30%；完成总体工程总量的70%及以上时，付至合同总价的50%；工程竣工验收合格后，付至</w:t>
      </w:r>
      <w:r>
        <w:rPr>
          <w:rFonts w:hint="eastAsia" w:cs="宋体"/>
          <w:color w:val="FF0000"/>
          <w:kern w:val="0"/>
          <w:sz w:val="24"/>
          <w:szCs w:val="24"/>
          <w:highlight w:val="yellow"/>
          <w:lang w:eastAsia="zh-CN"/>
        </w:rPr>
        <w:t>已完成合格工程量价款监理费用</w:t>
      </w:r>
      <w:r>
        <w:rPr>
          <w:rFonts w:hint="eastAsia" w:ascii="宋体" w:hAnsi="宋体" w:eastAsia="宋体" w:cs="宋体"/>
          <w:color w:val="FF0000"/>
          <w:kern w:val="0"/>
          <w:sz w:val="24"/>
          <w:szCs w:val="24"/>
          <w:highlight w:val="yellow"/>
        </w:rPr>
        <w:t>的80%，工程审计完成后，提供审计报告及相关材料，付至审计价</w:t>
      </w:r>
      <w:r>
        <w:rPr>
          <w:rFonts w:hint="eastAsia" w:cs="宋体"/>
          <w:color w:val="FF0000"/>
          <w:kern w:val="0"/>
          <w:sz w:val="24"/>
          <w:szCs w:val="24"/>
          <w:highlight w:val="yellow"/>
          <w:lang w:eastAsia="zh-CN"/>
        </w:rPr>
        <w:t>款监理费用</w:t>
      </w:r>
      <w:r>
        <w:rPr>
          <w:rFonts w:hint="eastAsia" w:ascii="宋体" w:hAnsi="宋体" w:eastAsia="宋体" w:cs="宋体"/>
          <w:color w:val="FF0000"/>
          <w:kern w:val="0"/>
          <w:sz w:val="24"/>
          <w:szCs w:val="24"/>
          <w:highlight w:val="yellow"/>
        </w:rPr>
        <w:t>的97%</w:t>
      </w:r>
      <w:r>
        <w:rPr>
          <w:rFonts w:hint="eastAsia" w:cs="宋体"/>
          <w:color w:val="FF0000"/>
          <w:kern w:val="0"/>
          <w:sz w:val="24"/>
          <w:szCs w:val="24"/>
          <w:highlight w:val="yellow"/>
          <w:lang w:eastAsia="zh-CN"/>
        </w:rPr>
        <w:t>（施工、监理资料需归档）</w:t>
      </w:r>
      <w:r>
        <w:rPr>
          <w:rFonts w:hint="eastAsia" w:ascii="宋体" w:hAnsi="宋体" w:eastAsia="宋体" w:cs="宋体"/>
          <w:color w:val="FF0000"/>
          <w:kern w:val="0"/>
          <w:sz w:val="24"/>
          <w:szCs w:val="24"/>
          <w:highlight w:val="yellow"/>
        </w:rPr>
        <w:t>，余款3%作为质保金，一次性付清（无息）。</w:t>
      </w:r>
    </w:p>
    <w:p>
      <w:pPr>
        <w:pStyle w:val="11"/>
        <w:keepNext w:val="0"/>
        <w:keepLines w:val="0"/>
        <w:pageBreakBefore w:val="0"/>
        <w:kinsoku/>
        <w:wordWrap/>
        <w:overflowPunct/>
        <w:topLinePunct w:val="0"/>
        <w:bidi w:val="0"/>
        <w:snapToGrid w:val="0"/>
        <w:spacing w:line="360" w:lineRule="auto"/>
        <w:ind w:left="420" w:firstLine="361" w:firstLineChars="150"/>
        <w:jc w:val="left"/>
        <w:textAlignment w:val="auto"/>
        <w:rPr>
          <w:rFonts w:hint="eastAsia" w:ascii="宋体" w:hAnsi="宋体" w:eastAsia="宋体" w:cs="宋体"/>
          <w:sz w:val="24"/>
          <w:szCs w:val="24"/>
        </w:rPr>
      </w:pPr>
      <w:r>
        <w:rPr>
          <w:rFonts w:hint="eastAsia" w:ascii="宋体" w:hAnsi="宋体" w:eastAsia="宋体" w:cs="宋体"/>
          <w:b/>
          <w:color w:val="000000"/>
          <w:sz w:val="24"/>
          <w:szCs w:val="24"/>
        </w:rPr>
        <w:t>4、标后约谈：</w:t>
      </w:r>
      <w:r>
        <w:rPr>
          <w:rFonts w:hint="eastAsia" w:ascii="宋体" w:hAnsi="宋体" w:eastAsia="宋体" w:cs="宋体"/>
          <w:color w:val="000000"/>
          <w:sz w:val="24"/>
          <w:szCs w:val="24"/>
        </w:rPr>
        <w:t>中标公示期满后，中标通知书发出前，由分管</w:t>
      </w:r>
      <w:r>
        <w:rPr>
          <w:rFonts w:hint="eastAsia" w:ascii="宋体" w:hAnsi="宋体" w:eastAsia="宋体" w:cs="宋体"/>
          <w:sz w:val="24"/>
          <w:szCs w:val="24"/>
        </w:rPr>
        <w:t>领导牵头约谈中标人的法人代表、总监，重大项目由主要领导参加约谈。招标人有权组织对中标人的履约能力、业绩情况等进行实地考察，如有证据证明实际考察情况与投标文件中提供的材料不符的，视同提供虚假材料，招标人将提请市公管局取消其中标资格。</w:t>
      </w:r>
    </w:p>
    <w:p>
      <w:pPr>
        <w:keepNext w:val="0"/>
        <w:keepLines w:val="0"/>
        <w:pageBreakBefore w:val="0"/>
        <w:kinsoku/>
        <w:wordWrap/>
        <w:overflowPunct/>
        <w:topLinePunct w:val="0"/>
        <w:bidi w:val="0"/>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5、履约保证金缴纳：</w:t>
      </w:r>
      <w:r>
        <w:rPr>
          <w:rFonts w:hint="eastAsia" w:ascii="宋体" w:hAnsi="宋体" w:eastAsia="宋体" w:cs="宋体"/>
          <w:sz w:val="24"/>
          <w:szCs w:val="24"/>
        </w:rPr>
        <w:t>中标人须于中标通知书发出之日起7日内缴纳履约保证金，未按规定时间缴纳的，处罚中标人2000元/天违约金，并书面通知中标人，违约金直接从中标人第一期监理请款中扣除作为罚款。自中标通知书发出之日起14天内仍未缴纳的，招标人将取消其中标资格，并没收其投标保证金。</w:t>
      </w:r>
    </w:p>
    <w:p>
      <w:pPr>
        <w:keepNext w:val="0"/>
        <w:keepLines w:val="0"/>
        <w:pageBreakBefore w:val="0"/>
        <w:kinsoku/>
        <w:wordWrap/>
        <w:overflowPunct/>
        <w:topLinePunct w:val="0"/>
        <w:bidi w:val="0"/>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6、合同签订：</w:t>
      </w:r>
      <w:r>
        <w:rPr>
          <w:rFonts w:hint="eastAsia" w:ascii="宋体" w:hAnsi="宋体" w:eastAsia="宋体" w:cs="宋体"/>
          <w:sz w:val="24"/>
          <w:szCs w:val="24"/>
        </w:rPr>
        <w:t>中标人自履约保证金缴纳后7日内与招标人签订合同，因中标人原因造成合同签订延误的，处罚3000元/天的违约金，并书面通知中标人，违约金直接从中标人第一期监理请款中扣除作为罚款。因中标人原因自履约保证金缴纳后14日内仍未签订合同的，发包人将提请滁州市公管局取消其中标资格，并没收其投标保证金。</w:t>
      </w:r>
    </w:p>
    <w:p>
      <w:pPr>
        <w:keepNext w:val="0"/>
        <w:keepLines w:val="0"/>
        <w:pageBreakBefore w:val="0"/>
        <w:kinsoku/>
        <w:wordWrap/>
        <w:overflowPunct/>
        <w:topLinePunct w:val="0"/>
        <w:bidi w:val="0"/>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7、前期手续办理：</w:t>
      </w:r>
      <w:r>
        <w:rPr>
          <w:rFonts w:hint="eastAsia" w:ascii="宋体" w:hAnsi="宋体" w:eastAsia="宋体" w:cs="宋体"/>
          <w:sz w:val="24"/>
          <w:szCs w:val="24"/>
        </w:rPr>
        <w:t>合同签订后15日内配合完成质量、安全报监手续，30日内配合完成施工许可证办理，否则，每延期一天处罚监理单位5000元/天的违约金（因建设单位和施工单位原因除外）。</w:t>
      </w:r>
    </w:p>
    <w:p>
      <w:pPr>
        <w:keepNext w:val="0"/>
        <w:keepLines w:val="0"/>
        <w:pageBreakBefore w:val="0"/>
        <w:kinsoku/>
        <w:wordWrap/>
        <w:overflowPunct/>
        <w:topLinePunct w:val="0"/>
        <w:bidi w:val="0"/>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8、监理人员费用考核：</w:t>
      </w:r>
      <w:r>
        <w:rPr>
          <w:rFonts w:hint="eastAsia" w:ascii="宋体" w:hAnsi="宋体" w:eastAsia="宋体" w:cs="宋体"/>
          <w:sz w:val="24"/>
          <w:szCs w:val="24"/>
        </w:rPr>
        <w:t>中标监理费总价最终结合投标人员到位数量来结算。即：投标总价/服务期（月）/投标人数=每个投标人员每月应得的费用，经现场考勤，少投入1人扣除1人应得费用（以委托人签字认可的考勤表为准）。中标后，如实际到岗人数不满足交易文件要求的，将按上述标准从监理费用中予以扣除。（各专业监理可结合项目的实施阶段经委托人签字认可后分期到岗）</w:t>
      </w:r>
    </w:p>
    <w:p>
      <w:pPr>
        <w:keepNext w:val="0"/>
        <w:keepLines w:val="0"/>
        <w:pageBreakBefore w:val="0"/>
        <w:kinsoku/>
        <w:wordWrap/>
        <w:overflowPunct/>
        <w:topLinePunct w:val="0"/>
        <w:bidi w:val="0"/>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9、监理考核考勤：（1）人员考核：</w:t>
      </w:r>
      <w:r>
        <w:rPr>
          <w:rFonts w:hint="eastAsia" w:ascii="宋体" w:hAnsi="宋体" w:eastAsia="宋体" w:cs="宋体"/>
          <w:sz w:val="24"/>
          <w:szCs w:val="24"/>
        </w:rPr>
        <w:t>工程开工进场后，监理单位必须按交易文件要求和投标承诺配备项目总监、总监代表、专业监理工程师、监理员、见证员等监理部关键岗位人员。未经发包人同意，不得更换上述人员。发包人将组织对上述人员进行业务能力考核，对未按投标文件配备或经考核不合格要求更换人员的，监理单位7日内必须整改调整到位。否则，对于总监和总监代表，按照2000元/人·天的违约金进行处罚，专业监理工程师、监理员和见证员按照1000元/人·天的违约金进行处罚。28日内未整改调整到位的，发包人有权终止合同，并提请相关行政主管部门对企业和人员进行“黑名单”处罚。</w:t>
      </w:r>
      <w:r>
        <w:rPr>
          <w:rFonts w:hint="eastAsia" w:ascii="宋体" w:hAnsi="宋体" w:eastAsia="宋体" w:cs="宋体"/>
          <w:b/>
          <w:sz w:val="24"/>
          <w:szCs w:val="24"/>
        </w:rPr>
        <w:t>（2）人员考勤：</w:t>
      </w:r>
      <w:r>
        <w:rPr>
          <w:rFonts w:hint="eastAsia" w:ascii="宋体" w:hAnsi="宋体" w:eastAsia="宋体" w:cs="宋体"/>
          <w:sz w:val="24"/>
          <w:szCs w:val="24"/>
        </w:rPr>
        <w:t>监理部管理人员上下班实行签字考勤，考勤由发包人项目组负责。总监、总监代表每月在岗时间不得少于20天，专业监理工程师、监理员、见证员每月在岗时间不得少于22天。未按规定在岗履责的，对总监和总监代表处罚1000元/人·天的违约金，对专业监理工程师、监理员、见证员处罚1000元/人·天的违约金。监理部关键岗位人员离岗必须向发包人项目组长履行请假手续，若被我局和相关部门日常检查和随机抽查中发现不在岗的，又未履行请假手续的，处罚5000元/人·次的违约金。</w:t>
      </w:r>
    </w:p>
    <w:p>
      <w:pPr>
        <w:keepNext w:val="0"/>
        <w:keepLines w:val="0"/>
        <w:pageBreakBefore w:val="0"/>
        <w:kinsoku/>
        <w:wordWrap/>
        <w:overflowPunct/>
        <w:topLinePunct w:val="0"/>
        <w:bidi w:val="0"/>
        <w:spacing w:line="360" w:lineRule="auto"/>
        <w:ind w:firstLine="472" w:firstLineChars="196"/>
        <w:textAlignment w:val="auto"/>
        <w:rPr>
          <w:rFonts w:hint="eastAsia" w:ascii="宋体" w:hAnsi="宋体" w:eastAsia="宋体" w:cs="宋体"/>
          <w:b/>
          <w:sz w:val="24"/>
          <w:szCs w:val="24"/>
        </w:rPr>
      </w:pPr>
      <w:r>
        <w:rPr>
          <w:rFonts w:hint="eastAsia" w:ascii="宋体" w:hAnsi="宋体" w:eastAsia="宋体" w:cs="宋体"/>
          <w:b/>
          <w:sz w:val="24"/>
          <w:szCs w:val="24"/>
        </w:rPr>
        <w:t>10、日常履责管理</w:t>
      </w:r>
    </w:p>
    <w:p>
      <w:pPr>
        <w:keepNext w:val="0"/>
        <w:keepLines w:val="0"/>
        <w:pageBreakBefore w:val="0"/>
        <w:kinsoku/>
        <w:wordWrap/>
        <w:overflowPunct/>
        <w:topLinePunct w:val="0"/>
        <w:bidi w:val="0"/>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（1）质量管理：</w:t>
      </w:r>
      <w:r>
        <w:rPr>
          <w:rFonts w:hint="eastAsia" w:ascii="宋体" w:hAnsi="宋体" w:eastAsia="宋体" w:cs="宋体"/>
          <w:sz w:val="24"/>
          <w:szCs w:val="24"/>
        </w:rPr>
        <w:t>①对日常检查、专项检查、第三方质量巡查过程中，如发现未按图纸、规范等施工且未被监理人员发现并纠正的，视为监理失误，每发现一次，处罚违约金1000-10000元；上述行为虽被监理人员</w:t>
      </w:r>
      <w:r>
        <w:rPr>
          <w:rFonts w:hint="eastAsia" w:ascii="宋体" w:hAnsi="宋体" w:eastAsia="宋体" w:cs="宋体"/>
          <w:bCs/>
          <w:kern w:val="0"/>
          <w:sz w:val="24"/>
          <w:szCs w:val="24"/>
        </w:rPr>
        <w:t>发现但未采取有效措施、听之任之的，每发现一次，处罚违约金金2000-20000元；情节严重的，招标人有权清退并提请相关单位记入“黑名单”，取消投标资格。②工程竣工后，质保期内接到使用单位质量投诉，监理单位不配合委托人处理问题的，处罚违约金1000元/次，从监理的质保回访尾款中扣除。</w:t>
      </w:r>
    </w:p>
    <w:p>
      <w:pPr>
        <w:keepNext w:val="0"/>
        <w:keepLines w:val="0"/>
        <w:pageBreakBefore w:val="0"/>
        <w:kinsoku/>
        <w:wordWrap/>
        <w:overflowPunct/>
        <w:topLinePunct w:val="0"/>
        <w:bidi w:val="0"/>
        <w:spacing w:line="360" w:lineRule="auto"/>
        <w:ind w:firstLine="482" w:firstLineChars="200"/>
        <w:jc w:val="left"/>
        <w:textAlignment w:val="auto"/>
        <w:rPr>
          <w:rFonts w:hint="eastAsia" w:ascii="宋体" w:hAnsi="宋体" w:eastAsia="宋体" w:cs="宋体"/>
          <w:sz w:val="24"/>
          <w:szCs w:val="24"/>
        </w:rPr>
      </w:pPr>
      <w:r>
        <w:rPr>
          <w:rFonts w:hint="eastAsia" w:ascii="宋体" w:hAnsi="宋体" w:eastAsia="宋体" w:cs="宋体"/>
          <w:b/>
          <w:sz w:val="24"/>
          <w:szCs w:val="24"/>
        </w:rPr>
        <w:t>（</w:t>
      </w:r>
      <w:r>
        <w:rPr>
          <w:rFonts w:hint="eastAsia" w:ascii="宋体" w:hAnsi="宋体" w:eastAsia="宋体" w:cs="宋体"/>
          <w:b/>
          <w:sz w:val="24"/>
          <w:szCs w:val="24"/>
          <w:lang w:val="en-US" w:eastAsia="zh-CN"/>
        </w:rPr>
        <w:t>2</w:t>
      </w:r>
      <w:r>
        <w:rPr>
          <w:rFonts w:hint="eastAsia" w:ascii="宋体" w:hAnsi="宋体" w:eastAsia="宋体" w:cs="宋体"/>
          <w:b/>
          <w:sz w:val="24"/>
          <w:szCs w:val="24"/>
        </w:rPr>
        <w:t>）安全文明和扬尘治理管理</w:t>
      </w:r>
      <w:r>
        <w:rPr>
          <w:rFonts w:hint="eastAsia" w:ascii="宋体" w:hAnsi="宋体" w:eastAsia="宋体" w:cs="宋体"/>
          <w:sz w:val="24"/>
          <w:szCs w:val="24"/>
        </w:rPr>
        <w:t>：监理单位需强化施工现场的安全文明和扬尘治理管理监督工作，按照国家、省、市有关规定切实履行监理职责。对施工单位违反规定或经检查达不到规定和要求，监理单位又未及时发现并要求整改或整改监督不力的，监理单位负连带责任，处罚监理单位2000元/次的违约金。</w:t>
      </w:r>
    </w:p>
    <w:p>
      <w:pPr>
        <w:keepNext w:val="0"/>
        <w:keepLines w:val="0"/>
        <w:pageBreakBefore w:val="0"/>
        <w:kinsoku/>
        <w:wordWrap/>
        <w:overflowPunct/>
        <w:topLinePunct w:val="0"/>
        <w:bidi w:val="0"/>
        <w:spacing w:line="360" w:lineRule="auto"/>
        <w:ind w:firstLine="472" w:firstLineChars="196"/>
        <w:textAlignment w:val="auto"/>
        <w:rPr>
          <w:rFonts w:hint="eastAsia" w:ascii="宋体" w:hAnsi="宋体" w:eastAsia="宋体" w:cs="宋体"/>
          <w:b/>
          <w:sz w:val="24"/>
          <w:szCs w:val="24"/>
        </w:rPr>
      </w:pPr>
      <w:r>
        <w:rPr>
          <w:rFonts w:hint="eastAsia" w:ascii="宋体" w:hAnsi="宋体" w:eastAsia="宋体" w:cs="宋体"/>
          <w:b/>
          <w:sz w:val="24"/>
          <w:szCs w:val="24"/>
        </w:rPr>
        <w:t>（4）造价管理</w:t>
      </w:r>
    </w:p>
    <w:p>
      <w:pPr>
        <w:keepNext w:val="0"/>
        <w:keepLines w:val="0"/>
        <w:pageBreakBefore w:val="0"/>
        <w:kinsoku/>
        <w:wordWrap/>
        <w:overflowPunct/>
        <w:topLinePunct w:val="0"/>
        <w:bidi w:val="0"/>
        <w:spacing w:line="360" w:lineRule="auto"/>
        <w:ind w:firstLine="360" w:firstLineChars="150"/>
        <w:textAlignment w:val="auto"/>
        <w:rPr>
          <w:rFonts w:hint="eastAsia" w:ascii="宋体" w:hAnsi="宋体" w:eastAsia="宋体" w:cs="宋体"/>
          <w:sz w:val="24"/>
          <w:szCs w:val="24"/>
          <w:lang w:eastAsia="zh-CN"/>
        </w:rPr>
      </w:pPr>
      <w:r>
        <w:rPr>
          <w:rFonts w:hint="eastAsia" w:ascii="宋体" w:hAnsi="宋体" w:eastAsia="宋体" w:cs="宋体"/>
          <w:sz w:val="24"/>
          <w:szCs w:val="24"/>
        </w:rPr>
        <w:t>①工程变更、签证计量：</w:t>
      </w:r>
      <w:r>
        <w:rPr>
          <w:rFonts w:hint="eastAsia" w:ascii="宋体" w:hAnsi="宋体" w:eastAsia="宋体" w:cs="宋体"/>
          <w:sz w:val="24"/>
          <w:szCs w:val="24"/>
          <w:lang w:eastAsia="zh-CN"/>
        </w:rPr>
        <w:t>另行商定</w:t>
      </w:r>
    </w:p>
    <w:p>
      <w:pPr>
        <w:keepNext w:val="0"/>
        <w:keepLines w:val="0"/>
        <w:pageBreakBefore w:val="0"/>
        <w:kinsoku/>
        <w:wordWrap/>
        <w:overflowPunct/>
        <w:topLinePunct w:val="0"/>
        <w:bidi w:val="0"/>
        <w:spacing w:line="360" w:lineRule="auto"/>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②对于施工、材料设备等工程进度款和结算资料、验收资料经业主审核出现明显错误且未被监理人发现的，视为监理失误，每条每次处罚金500-2000元。</w:t>
      </w:r>
    </w:p>
    <w:p>
      <w:pPr>
        <w:keepNext w:val="0"/>
        <w:keepLines w:val="0"/>
        <w:pageBreakBefore w:val="0"/>
        <w:kinsoku/>
        <w:wordWrap/>
        <w:overflowPunct/>
        <w:topLinePunct w:val="0"/>
        <w:bidi w:val="0"/>
        <w:spacing w:line="360" w:lineRule="auto"/>
        <w:ind w:firstLine="472" w:firstLineChars="196"/>
        <w:textAlignment w:val="auto"/>
        <w:rPr>
          <w:rFonts w:hint="eastAsia" w:ascii="宋体" w:hAnsi="宋体" w:eastAsia="宋体" w:cs="宋体"/>
          <w:b/>
          <w:sz w:val="24"/>
          <w:szCs w:val="24"/>
        </w:rPr>
      </w:pPr>
      <w:r>
        <w:rPr>
          <w:rFonts w:hint="eastAsia" w:ascii="宋体" w:hAnsi="宋体" w:eastAsia="宋体" w:cs="宋体"/>
          <w:b/>
          <w:sz w:val="24"/>
          <w:szCs w:val="24"/>
        </w:rPr>
        <w:t>（5）项目中标后进行图纸技术交底前，监理单位要对图纸进行审核，因审核不到位造成的变更或工期滞后的，给予监理单位每次5000元处罚；</w:t>
      </w:r>
    </w:p>
    <w:p>
      <w:pPr>
        <w:keepNext w:val="0"/>
        <w:keepLines w:val="0"/>
        <w:pageBreakBefore w:val="0"/>
        <w:kinsoku/>
        <w:wordWrap/>
        <w:overflowPunct/>
        <w:topLinePunct w:val="0"/>
        <w:bidi w:val="0"/>
        <w:spacing w:line="360" w:lineRule="auto"/>
        <w:ind w:firstLine="472" w:firstLineChars="196"/>
        <w:textAlignment w:val="auto"/>
        <w:rPr>
          <w:rFonts w:hint="eastAsia" w:ascii="宋体" w:hAnsi="宋体" w:eastAsia="宋体" w:cs="宋体"/>
          <w:b/>
          <w:sz w:val="24"/>
          <w:szCs w:val="24"/>
        </w:rPr>
      </w:pPr>
      <w:r>
        <w:rPr>
          <w:rFonts w:hint="eastAsia" w:ascii="宋体" w:hAnsi="宋体" w:eastAsia="宋体" w:cs="宋体"/>
          <w:b/>
          <w:sz w:val="24"/>
          <w:szCs w:val="24"/>
        </w:rPr>
        <w:t>（6）项目完工后，督促施工单位在竣工预验收前上报竣工验收资料，并严格按规范要求进行审核，未经审核或审核不严就签字上报业主的，经业主审核发现存在问题的，给予监理单位2000元/条处罚；</w:t>
      </w:r>
    </w:p>
    <w:p>
      <w:pPr>
        <w:keepNext w:val="0"/>
        <w:keepLines w:val="0"/>
        <w:pageBreakBefore w:val="0"/>
        <w:kinsoku/>
        <w:wordWrap/>
        <w:overflowPunct/>
        <w:topLinePunct w:val="0"/>
        <w:bidi w:val="0"/>
        <w:spacing w:line="360" w:lineRule="auto"/>
        <w:ind w:firstLine="472" w:firstLineChars="196"/>
        <w:textAlignment w:val="auto"/>
        <w:rPr>
          <w:rFonts w:hint="eastAsia" w:ascii="宋体" w:hAnsi="宋体" w:eastAsia="宋体" w:cs="宋体"/>
          <w:b/>
          <w:sz w:val="24"/>
          <w:szCs w:val="24"/>
        </w:rPr>
      </w:pPr>
      <w:r>
        <w:rPr>
          <w:rFonts w:hint="eastAsia" w:ascii="宋体" w:hAnsi="宋体" w:eastAsia="宋体" w:cs="宋体"/>
          <w:b/>
          <w:sz w:val="24"/>
          <w:szCs w:val="24"/>
        </w:rPr>
        <w:t>（7）项目竣工后，督促施工单位在两个月内上报结算资料，并用一个月时间完成审核报业主方，未经审核或审核不严致结算资料中存在错误的，给予监理单位2000元/条处罚；</w:t>
      </w:r>
    </w:p>
    <w:p>
      <w:pPr>
        <w:keepNext w:val="0"/>
        <w:keepLines w:val="0"/>
        <w:pageBreakBefore w:val="0"/>
        <w:kinsoku/>
        <w:wordWrap/>
        <w:overflowPunct/>
        <w:topLinePunct w:val="0"/>
        <w:bidi w:val="0"/>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11、农民工工资管理</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农民工工资管理：中标人在监理过程中必须设专人监管农民工工资发放，并将农民工工资支付情况纳入监理日志内容，督促工程总承包人按时足额支付农民工工资。工程总承包人未按时足额支付农民工工资，工程监理人应及时报告建设单位或清欠维权机构。工程监理人未将农民工工资支付情况记入监理日志和未按时核定工程进度款的，由委托人责令其限期整改；逾期未整改或整改不到位的，记入滁州市建设行业信用信息系统。</w:t>
      </w:r>
    </w:p>
    <w:p>
      <w:pPr>
        <w:keepNext w:val="0"/>
        <w:keepLines w:val="0"/>
        <w:pageBreakBefore w:val="0"/>
        <w:kinsoku/>
        <w:wordWrap/>
        <w:overflowPunct/>
        <w:topLinePunct w:val="0"/>
        <w:bidi w:val="0"/>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12、禁止条款：</w:t>
      </w:r>
      <w:r>
        <w:rPr>
          <w:rFonts w:hint="eastAsia" w:ascii="宋体" w:hAnsi="宋体" w:eastAsia="宋体" w:cs="宋体"/>
          <w:sz w:val="24"/>
          <w:szCs w:val="24"/>
        </w:rPr>
        <w:t>不得与施工单位同吃同住；不得将罚款、差旅费及相关费用转嫁给施工单位；不得代替施工单位整理相关施工资料及相关有偿服务；不得以监理费支付等为由拒绝履行监理服务，如有发现，委托人有权立即予以清退出场，终止合同，并另行委托同等资质的监理单位完善后续服务。</w:t>
      </w:r>
    </w:p>
    <w:p>
      <w:pPr>
        <w:keepNext w:val="0"/>
        <w:keepLines w:val="0"/>
        <w:pageBreakBefore w:val="0"/>
        <w:kinsoku/>
        <w:wordWrap/>
        <w:overflowPunct/>
        <w:topLinePunct w:val="0"/>
        <w:bidi w:val="0"/>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13、其他规定</w:t>
      </w:r>
    </w:p>
    <w:bookmarkEnd w:id="65"/>
    <w:p>
      <w:pPr>
        <w:keepNext w:val="0"/>
        <w:keepLines w:val="0"/>
        <w:pageBreakBefore w:val="0"/>
        <w:widowControl/>
        <w:kinsoku/>
        <w:wordWrap/>
        <w:overflowPunct/>
        <w:topLinePunct w:val="0"/>
        <w:bidi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1</w:t>
      </w:r>
      <w:r>
        <w:rPr>
          <w:rFonts w:hint="eastAsia" w:ascii="宋体" w:hAnsi="宋体" w:eastAsia="宋体" w:cs="宋体"/>
          <w:sz w:val="24"/>
          <w:szCs w:val="24"/>
        </w:rPr>
        <w:t>）本条款中所有处罚方式皆以现金方式交纳至</w:t>
      </w:r>
      <w:r>
        <w:rPr>
          <w:rFonts w:hint="eastAsia" w:ascii="宋体" w:hAnsi="宋体" w:eastAsia="宋体" w:cs="宋体"/>
          <w:sz w:val="24"/>
          <w:szCs w:val="24"/>
          <w:lang w:eastAsia="zh-CN"/>
        </w:rPr>
        <w:t>我公司</w:t>
      </w:r>
      <w:r>
        <w:rPr>
          <w:rFonts w:hint="eastAsia" w:ascii="宋体" w:hAnsi="宋体" w:eastAsia="宋体" w:cs="宋体"/>
          <w:sz w:val="24"/>
          <w:szCs w:val="24"/>
        </w:rPr>
        <w:t>财务科，对于拒不交纳罚款的监理人予以不支付工程进度款等相关手续。</w:t>
      </w:r>
    </w:p>
    <w:p>
      <w:pPr>
        <w:bidi w:val="0"/>
        <w:jc w:val="center"/>
        <w:rPr>
          <w:rFonts w:hint="eastAsia"/>
          <w:sz w:val="28"/>
          <w:szCs w:val="28"/>
        </w:rPr>
      </w:pPr>
      <w:r>
        <w:rPr>
          <w:rFonts w:hint="eastAsia"/>
          <w:sz w:val="28"/>
          <w:szCs w:val="28"/>
        </w:rPr>
        <w:t>14.</w:t>
      </w:r>
      <w:bookmarkStart w:id="66" w:name="_Toc407261954"/>
      <w:r>
        <w:rPr>
          <w:rFonts w:hint="eastAsia"/>
          <w:sz w:val="28"/>
          <w:szCs w:val="28"/>
        </w:rPr>
        <w:t xml:space="preserve"> 补充条款</w:t>
      </w:r>
      <w:bookmarkEnd w:id="66"/>
    </w:p>
    <w:p>
      <w:pPr>
        <w:keepNext w:val="0"/>
        <w:keepLines w:val="0"/>
        <w:pageBreakBefore w:val="0"/>
        <w:kinsoku/>
        <w:wordWrap/>
        <w:overflowPunct/>
        <w:topLinePunct w:val="0"/>
        <w:bidi w:val="0"/>
        <w:adjustRightInd w:val="0"/>
        <w:snapToGrid w:val="0"/>
        <w:spacing w:line="360" w:lineRule="auto"/>
        <w:ind w:firstLine="482" w:firstLineChars="200"/>
        <w:textAlignment w:val="auto"/>
        <w:rPr>
          <w:rFonts w:hint="eastAsia" w:ascii="宋体" w:hAnsi="宋体" w:eastAsia="宋体" w:cs="宋体"/>
          <w:b/>
          <w:sz w:val="24"/>
          <w:szCs w:val="24"/>
          <w:highlight w:val="yellow"/>
        </w:rPr>
      </w:pPr>
      <w:r>
        <w:rPr>
          <w:rFonts w:hint="eastAsia" w:ascii="宋体" w:hAnsi="宋体" w:eastAsia="宋体" w:cs="宋体"/>
          <w:b/>
          <w:sz w:val="24"/>
          <w:szCs w:val="24"/>
        </w:rPr>
        <w:t>1.</w:t>
      </w:r>
      <w:r>
        <w:rPr>
          <w:rFonts w:hint="eastAsia" w:ascii="宋体" w:hAnsi="宋体" w:eastAsia="宋体" w:cs="宋体"/>
          <w:color w:val="000000"/>
          <w:sz w:val="24"/>
          <w:szCs w:val="24"/>
        </w:rPr>
        <w:t>管理机制：</w:t>
      </w:r>
    </w:p>
    <w:p>
      <w:pPr>
        <w:keepNext w:val="0"/>
        <w:keepLines w:val="0"/>
        <w:pageBreakBefore w:val="0"/>
        <w:kinsoku/>
        <w:wordWrap/>
        <w:overflowPunct/>
        <w:topLinePunct w:val="0"/>
        <w:bidi w:val="0"/>
        <w:adjustRightInd w:val="0"/>
        <w:snapToGrid w:val="0"/>
        <w:spacing w:line="360" w:lineRule="auto"/>
        <w:ind w:firstLine="482" w:firstLineChars="200"/>
        <w:textAlignment w:val="auto"/>
        <w:rPr>
          <w:rFonts w:hint="eastAsia" w:ascii="宋体" w:hAnsi="宋体" w:eastAsia="宋体" w:cs="宋体"/>
          <w:color w:val="000000"/>
          <w:sz w:val="24"/>
          <w:szCs w:val="24"/>
        </w:rPr>
      </w:pPr>
      <w:r>
        <w:rPr>
          <w:rFonts w:hint="eastAsia" w:ascii="宋体" w:hAnsi="宋体" w:eastAsia="宋体" w:cs="宋体"/>
          <w:b/>
          <w:color w:val="000000"/>
          <w:sz w:val="24"/>
          <w:szCs w:val="24"/>
        </w:rPr>
        <w:t>1.1、</w:t>
      </w:r>
      <w:r>
        <w:rPr>
          <w:rFonts w:hint="eastAsia" w:ascii="宋体" w:hAnsi="宋体" w:eastAsia="宋体" w:cs="宋体"/>
          <w:color w:val="000000"/>
          <w:sz w:val="24"/>
          <w:szCs w:val="24"/>
        </w:rPr>
        <w:t>备选库实行动态调整制度，每年考核调整一次，按建设单位对工程造价中介机构的服务评价得分进行排序，在总评得分80分以下的实行年末位淘汰调整,不再续签下一年度服务合同。被淘汰中介机构在2年后的再次招标中，本单位保留拒绝其再次参与投标入库的权利。对连续2年考核得分均在前3名的中介机构,在征得本单位三项工作委员会同意后,经向社会公示后可直接纳入下一周期供应商库管理,安徽省琅琊山旅游发展有限公司有权将中标通知按照备选库单位的抽签方式递补或进行补招扩充入库单位。</w:t>
      </w:r>
    </w:p>
    <w:p>
      <w:pPr>
        <w:keepNext w:val="0"/>
        <w:keepLines w:val="0"/>
        <w:pageBreakBefore w:val="0"/>
        <w:kinsoku/>
        <w:wordWrap/>
        <w:overflowPunct/>
        <w:topLinePunct w:val="0"/>
        <w:bidi w:val="0"/>
        <w:adjustRightInd w:val="0"/>
        <w:snapToGrid w:val="0"/>
        <w:spacing w:line="360" w:lineRule="auto"/>
        <w:ind w:firstLine="482" w:firstLineChars="200"/>
        <w:textAlignment w:val="auto"/>
        <w:rPr>
          <w:rFonts w:hint="eastAsia" w:ascii="宋体" w:hAnsi="宋体" w:eastAsia="宋体" w:cs="宋体"/>
          <w:color w:val="000000"/>
          <w:sz w:val="24"/>
          <w:szCs w:val="24"/>
        </w:rPr>
      </w:pPr>
      <w:r>
        <w:rPr>
          <w:rFonts w:hint="eastAsia" w:ascii="宋体" w:hAnsi="宋体" w:eastAsia="宋体" w:cs="宋体"/>
          <w:b/>
          <w:color w:val="000000"/>
          <w:sz w:val="24"/>
          <w:szCs w:val="24"/>
        </w:rPr>
        <w:t>1.2、</w:t>
      </w:r>
      <w:r>
        <w:rPr>
          <w:rFonts w:hint="eastAsia" w:ascii="宋体" w:hAnsi="宋体" w:eastAsia="宋体" w:cs="宋体"/>
          <w:color w:val="000000"/>
          <w:sz w:val="24"/>
          <w:szCs w:val="24"/>
        </w:rPr>
        <w:t xml:space="preserve"> 监理中介机构的选用采取随机抽取制，由建设单位在标准化平台进行申报，申报审批通过后,审计派驻办三个工作日内在相关部门的监督下，按照相关制度进行随机抽取。</w:t>
      </w:r>
    </w:p>
    <w:p>
      <w:pPr>
        <w:keepNext w:val="0"/>
        <w:keepLines w:val="0"/>
        <w:pageBreakBefore w:val="0"/>
        <w:kinsoku/>
        <w:wordWrap/>
        <w:overflowPunct/>
        <w:topLinePunct w:val="0"/>
        <w:bidi w:val="0"/>
        <w:adjustRightInd w:val="0"/>
        <w:snapToGrid w:val="0"/>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2. 违约责任：</w:t>
      </w:r>
    </w:p>
    <w:p>
      <w:pPr>
        <w:keepNext w:val="0"/>
        <w:keepLines w:val="0"/>
        <w:pageBreakBefore w:val="0"/>
        <w:kinsoku/>
        <w:wordWrap/>
        <w:overflowPunct/>
        <w:topLinePunct w:val="0"/>
        <w:bidi w:val="0"/>
        <w:adjustRightInd w:val="0"/>
        <w:snapToGrid w:val="0"/>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2.1、任何实质性不满足监理服务采购需求的，视为违约，采购人有权拒绝支付任何费用；</w:t>
      </w:r>
    </w:p>
    <w:p>
      <w:pPr>
        <w:keepNext w:val="0"/>
        <w:keepLines w:val="0"/>
        <w:pageBreakBefore w:val="0"/>
        <w:kinsoku/>
        <w:wordWrap/>
        <w:overflowPunct/>
        <w:topLinePunct w:val="0"/>
        <w:bidi w:val="0"/>
        <w:adjustRightInd w:val="0"/>
        <w:snapToGrid w:val="0"/>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2.2、供应商不履行本合同义务或者履行义务不符合约定的，采购人有权要求供应商承担继续履行、赔偿损失或支付违约金等违约责任；</w:t>
      </w:r>
    </w:p>
    <w:p>
      <w:pPr>
        <w:keepNext w:val="0"/>
        <w:keepLines w:val="0"/>
        <w:pageBreakBefore w:val="0"/>
        <w:kinsoku/>
        <w:wordWrap/>
        <w:overflowPunct/>
        <w:topLinePunct w:val="0"/>
        <w:bidi w:val="0"/>
        <w:adjustRightInd w:val="0"/>
        <w:snapToGrid w:val="0"/>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2.3、因供应商成果文件质量低劣引起返工给采购人造成损失时，供应商应继续完善工作，并应赔偿采购人所遭受的损失；</w:t>
      </w:r>
    </w:p>
    <w:p>
      <w:pPr>
        <w:keepNext w:val="0"/>
        <w:keepLines w:val="0"/>
        <w:pageBreakBefore w:val="0"/>
        <w:kinsoku/>
        <w:wordWrap/>
        <w:overflowPunct/>
        <w:topLinePunct w:val="0"/>
        <w:bidi w:val="0"/>
        <w:adjustRightInd w:val="0"/>
        <w:snapToGrid w:val="0"/>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2.4、供应商未能按期提交工作文件的，每逾期1天，乙方应向甲方支付合同价格5%的违约金；</w:t>
      </w:r>
    </w:p>
    <w:p>
      <w:pPr>
        <w:keepNext w:val="0"/>
        <w:keepLines w:val="0"/>
        <w:pageBreakBefore w:val="0"/>
        <w:kinsoku/>
        <w:wordWrap/>
        <w:overflowPunct/>
        <w:topLinePunct w:val="0"/>
        <w:bidi w:val="0"/>
        <w:adjustRightInd w:val="0"/>
        <w:snapToGrid w:val="0"/>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2.5、供应商未按合同约定履行合同义务，经采购人合理催告在限定时间内仍未纠正的，采购人有权书面通知乙方终止合同；合同提前终止的，采购人有权拒绝支付任何费用，且供应商应向采购人支付相当于合同价格20%的违约金；</w:t>
      </w:r>
    </w:p>
    <w:p>
      <w:pPr>
        <w:keepNext w:val="0"/>
        <w:keepLines w:val="0"/>
        <w:pageBreakBefore w:val="0"/>
        <w:kinsoku/>
        <w:wordWrap/>
        <w:overflowPunct/>
        <w:topLinePunct w:val="0"/>
        <w:bidi w:val="0"/>
        <w:adjustRightInd w:val="0"/>
        <w:snapToGrid w:val="0"/>
        <w:spacing w:line="360" w:lineRule="auto"/>
        <w:ind w:firstLine="422"/>
        <w:textAlignment w:val="auto"/>
        <w:rPr>
          <w:rFonts w:hint="eastAsia" w:ascii="宋体" w:hAnsi="宋体" w:eastAsia="宋体" w:cs="宋体"/>
          <w:b/>
          <w:sz w:val="24"/>
          <w:szCs w:val="24"/>
        </w:rPr>
      </w:pPr>
      <w:r>
        <w:rPr>
          <w:rFonts w:hint="eastAsia" w:ascii="宋体" w:hAnsi="宋体" w:eastAsia="宋体" w:cs="宋体"/>
          <w:b/>
          <w:sz w:val="24"/>
          <w:szCs w:val="24"/>
        </w:rPr>
        <w:t>3.知识产权</w:t>
      </w:r>
    </w:p>
    <w:p>
      <w:pPr>
        <w:keepNext w:val="0"/>
        <w:keepLines w:val="0"/>
        <w:pageBreakBefore w:val="0"/>
        <w:kinsoku/>
        <w:wordWrap/>
        <w:overflowPunct/>
        <w:topLinePunct w:val="0"/>
        <w:bidi w:val="0"/>
        <w:adjustRightInd w:val="0"/>
        <w:snapToGrid w:val="0"/>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3.1、供应商根据本合同取得的成果文件的著作权及其他相关知识产权属采购人所有。未经采购人书面同意，供应商不得公开发表、使用或向任何第三方提供上述工作文件；</w:t>
      </w:r>
    </w:p>
    <w:p>
      <w:pPr>
        <w:keepNext w:val="0"/>
        <w:keepLines w:val="0"/>
        <w:pageBreakBefore w:val="0"/>
        <w:kinsoku/>
        <w:wordWrap/>
        <w:overflowPunct/>
        <w:topLinePunct w:val="0"/>
        <w:bidi w:val="0"/>
        <w:adjustRightInd w:val="0"/>
        <w:snapToGrid w:val="0"/>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 xml:space="preserve">3.2、供应商所提交的成果文件不应存在任何权利瑕疵，供应商应保证采购人免于遭受因第三方提起侵权索赔而产生的任何损失。如果任何第三方向采购人提起侵权索赔，供应商应负责与之进行交涉，并承担由此引起的一切责任。  </w:t>
      </w:r>
    </w:p>
    <w:p>
      <w:pPr>
        <w:keepNext w:val="0"/>
        <w:keepLines w:val="0"/>
        <w:pageBreakBefore w:val="0"/>
        <w:kinsoku/>
        <w:wordWrap/>
        <w:overflowPunct/>
        <w:topLinePunct w:val="0"/>
        <w:bidi w:val="0"/>
        <w:adjustRightInd w:val="0"/>
        <w:snapToGrid w:val="0"/>
        <w:spacing w:line="360" w:lineRule="auto"/>
        <w:ind w:firstLine="422"/>
        <w:textAlignment w:val="auto"/>
        <w:rPr>
          <w:rFonts w:hint="eastAsia" w:ascii="宋体" w:hAnsi="宋体" w:eastAsia="宋体" w:cs="宋体"/>
          <w:sz w:val="24"/>
          <w:szCs w:val="24"/>
        </w:rPr>
      </w:pPr>
      <w:r>
        <w:rPr>
          <w:rFonts w:hint="eastAsia" w:ascii="宋体" w:hAnsi="宋体" w:eastAsia="宋体" w:cs="宋体"/>
          <w:sz w:val="24"/>
          <w:szCs w:val="24"/>
        </w:rPr>
        <w:t>4.保密义务</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4.1供应商及其工作人员应对工作文件和在合同履行过程中了解到的涉及采购人商业秘密的资料以及其他尚未公开的有关信息承担保密义务，并采取相应的保密措施。供应商应承担的保密义务包括但不限于： </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4.1.1 未经采购人书面同意，不得将成果文件、资料及信息披露给任何第三人；</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4.1.2 不得将上述工作文件、资料及信息用于本合同以外的其他目的；</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 1.3供应商违反保密义务的，应承担一切法律责任并赔偿采购人因此遭受的全部损失。</w:t>
      </w:r>
    </w:p>
    <w:p>
      <w:pPr>
        <w:keepNext w:val="0"/>
        <w:keepLines w:val="0"/>
        <w:pageBreakBefore w:val="0"/>
        <w:kinsoku/>
        <w:wordWrap/>
        <w:overflowPunct/>
        <w:topLinePunct w:val="0"/>
        <w:bidi w:val="0"/>
        <w:adjustRightInd w:val="0"/>
        <w:snapToGrid w:val="0"/>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5.供应商义务</w:t>
      </w:r>
    </w:p>
    <w:p>
      <w:pPr>
        <w:keepNext w:val="0"/>
        <w:keepLines w:val="0"/>
        <w:pageBreakBefore w:val="0"/>
        <w:kinsoku/>
        <w:wordWrap/>
        <w:overflowPunct/>
        <w:topLinePunct w:val="0"/>
        <w:bidi w:val="0"/>
        <w:adjustRightInd w:val="0"/>
        <w:snapToGrid w:val="0"/>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5.1指定专人负责整体项目的组织实施和与采购人的联络。</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5.3 供应商对收集的资料准确性负责。</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6、琅琊山风景名胜区管理委员会工程变更管理办法、琅琊山</w:t>
      </w:r>
      <w:r>
        <w:rPr>
          <w:rFonts w:hint="eastAsia" w:ascii="宋体" w:hAnsi="宋体" w:eastAsia="宋体" w:cs="宋体"/>
          <w:sz w:val="24"/>
          <w:szCs w:val="24"/>
          <w:lang w:eastAsia="zh-CN"/>
        </w:rPr>
        <w:t>限额标准以下工程管理办法</w:t>
      </w:r>
      <w:r>
        <w:rPr>
          <w:rFonts w:hint="eastAsia" w:ascii="宋体" w:hAnsi="宋体" w:eastAsia="宋体" w:cs="宋体"/>
          <w:sz w:val="24"/>
          <w:szCs w:val="24"/>
        </w:rPr>
        <w:t>见附件作为合同附件</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sz w:val="24"/>
          <w:szCs w:val="24"/>
          <w:u w:val="single"/>
        </w:rPr>
      </w:pPr>
      <w:r>
        <w:rPr>
          <w:rFonts w:hint="eastAsia" w:ascii="宋体" w:hAnsi="宋体" w:eastAsia="宋体" w:cs="宋体"/>
          <w:sz w:val="24"/>
          <w:szCs w:val="24"/>
        </w:rPr>
        <w:t>7、其他：</w:t>
      </w:r>
      <w:r>
        <w:rPr>
          <w:rFonts w:hint="eastAsia" w:ascii="宋体" w:hAnsi="宋体" w:eastAsia="宋体" w:cs="宋体"/>
          <w:sz w:val="24"/>
          <w:szCs w:val="24"/>
          <w:u w:val="single"/>
        </w:rPr>
        <w:t xml:space="preserve">       未尽事宜合同签订时明确                                </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 有关文件附件：</w:t>
      </w:r>
    </w:p>
    <w:p>
      <w:pPr>
        <w:keepNext w:val="0"/>
        <w:keepLines w:val="0"/>
        <w:pageBreakBefore w:val="0"/>
        <w:kinsoku/>
        <w:wordWrap/>
        <w:overflowPunct/>
        <w:topLinePunct w:val="0"/>
        <w:bidi w:val="0"/>
        <w:spacing w:before="0" w:line="360" w:lineRule="auto"/>
        <w:ind w:left="870" w:right="0" w:firstLine="0"/>
        <w:jc w:val="center"/>
        <w:textAlignment w:val="auto"/>
        <w:rPr>
          <w:rFonts w:hint="eastAsia" w:ascii="宋体" w:hAnsi="宋体" w:eastAsia="宋体" w:cs="宋体"/>
          <w:b/>
          <w:sz w:val="24"/>
          <w:szCs w:val="24"/>
        </w:rPr>
        <w:sectPr>
          <w:pgSz w:w="11910" w:h="16850"/>
          <w:pgMar w:top="1440" w:right="1800" w:bottom="1440" w:left="1800" w:header="0" w:footer="636" w:gutter="0"/>
          <w:cols w:space="720" w:num="1"/>
        </w:sectPr>
      </w:pPr>
    </w:p>
    <w:p>
      <w:pPr>
        <w:pageBreakBefore/>
        <w:ind w:firstLine="2711" w:firstLineChars="900"/>
        <w:jc w:val="both"/>
        <w:outlineLvl w:val="0"/>
        <w:rPr>
          <w:rFonts w:hint="eastAsia" w:ascii="宋体"/>
          <w:b/>
          <w:sz w:val="30"/>
          <w:szCs w:val="30"/>
        </w:rPr>
      </w:pPr>
      <w:bookmarkStart w:id="67" w:name="_Toc4700"/>
      <w:r>
        <w:rPr>
          <w:rFonts w:hint="eastAsia" w:ascii="宋体"/>
          <w:b/>
          <w:sz w:val="30"/>
          <w:szCs w:val="30"/>
        </w:rPr>
        <w:t>第</w:t>
      </w:r>
      <w:r>
        <w:rPr>
          <w:rFonts w:hint="eastAsia"/>
          <w:b/>
          <w:sz w:val="30"/>
          <w:szCs w:val="30"/>
          <w:lang w:val="en-US" w:eastAsia="zh-CN"/>
        </w:rPr>
        <w:t>六</w:t>
      </w:r>
      <w:r>
        <w:rPr>
          <w:rFonts w:hint="eastAsia" w:ascii="宋体"/>
          <w:b/>
          <w:sz w:val="30"/>
          <w:szCs w:val="30"/>
        </w:rPr>
        <w:t>章  投标文件格式</w:t>
      </w:r>
      <w:bookmarkEnd w:id="67"/>
    </w:p>
    <w:p>
      <w:pPr>
        <w:jc w:val="right"/>
        <w:rPr>
          <w:rFonts w:hint="eastAsia" w:ascii="宋体"/>
          <w:sz w:val="28"/>
          <w:szCs w:val="28"/>
          <w:bdr w:val="single" w:color="000000" w:sz="4" w:space="0"/>
        </w:rPr>
      </w:pPr>
      <w:r>
        <w:rPr>
          <w:rFonts w:hint="eastAsia" w:ascii="宋体"/>
          <w:sz w:val="28"/>
          <w:szCs w:val="28"/>
          <w:bdr w:val="single" w:color="000000" w:sz="4" w:space="0"/>
        </w:rPr>
        <w:t>注明正本或副本</w:t>
      </w:r>
    </w:p>
    <w:p>
      <w:pPr>
        <w:jc w:val="center"/>
        <w:rPr>
          <w:rFonts w:hint="eastAsia" w:eastAsia="黑体"/>
          <w:sz w:val="20"/>
        </w:rPr>
      </w:pPr>
    </w:p>
    <w:p>
      <w:pPr>
        <w:rPr>
          <w:rFonts w:hint="eastAsia" w:eastAsia="黑体"/>
          <w:sz w:val="20"/>
        </w:rPr>
      </w:pPr>
    </w:p>
    <w:p>
      <w:pPr>
        <w:pStyle w:val="18"/>
        <w:rPr>
          <w:rFonts w:hint="eastAsia" w:eastAsia="黑体"/>
          <w:sz w:val="20"/>
        </w:rPr>
      </w:pPr>
    </w:p>
    <w:p>
      <w:pPr>
        <w:pStyle w:val="18"/>
        <w:rPr>
          <w:rFonts w:hint="eastAsia" w:eastAsia="黑体"/>
          <w:sz w:val="20"/>
        </w:rPr>
      </w:pPr>
    </w:p>
    <w:p>
      <w:pPr>
        <w:bidi w:val="0"/>
        <w:jc w:val="center"/>
        <w:rPr>
          <w:rFonts w:hint="eastAsia"/>
          <w:sz w:val="48"/>
          <w:szCs w:val="48"/>
        </w:rPr>
      </w:pPr>
      <w:bookmarkStart w:id="68" w:name="_Toc469495744"/>
      <w:bookmarkStart w:id="69" w:name="_Toc350698753"/>
      <w:r>
        <w:rPr>
          <w:rFonts w:hint="eastAsia"/>
          <w:sz w:val="48"/>
          <w:szCs w:val="48"/>
        </w:rPr>
        <w:t>投标文件</w:t>
      </w:r>
      <w:bookmarkEnd w:id="68"/>
      <w:bookmarkEnd w:id="69"/>
    </w:p>
    <w:p>
      <w:pPr>
        <w:jc w:val="center"/>
        <w:rPr>
          <w:rFonts w:hint="eastAsia" w:ascii="宋体"/>
          <w:sz w:val="32"/>
          <w:szCs w:val="32"/>
        </w:rPr>
      </w:pPr>
      <w:r>
        <w:rPr>
          <w:rFonts w:hint="eastAsia" w:ascii="宋体"/>
          <w:sz w:val="32"/>
          <w:szCs w:val="32"/>
        </w:rPr>
        <w:t xml:space="preserve"> </w:t>
      </w:r>
    </w:p>
    <w:p>
      <w:pPr>
        <w:jc w:val="center"/>
        <w:rPr>
          <w:rFonts w:hint="eastAsia" w:eastAsia="黑体"/>
          <w:sz w:val="44"/>
          <w:szCs w:val="44"/>
        </w:rPr>
      </w:pPr>
    </w:p>
    <w:p>
      <w:pPr>
        <w:jc w:val="center"/>
        <w:rPr>
          <w:rFonts w:hint="eastAsia" w:ascii="宋体"/>
          <w:sz w:val="32"/>
          <w:szCs w:val="32"/>
        </w:rPr>
      </w:pPr>
      <w:r>
        <w:rPr>
          <w:rFonts w:hint="eastAsia" w:ascii="宋体"/>
          <w:sz w:val="32"/>
          <w:szCs w:val="32"/>
          <w:u w:val="single"/>
        </w:rPr>
        <w:t xml:space="preserve">             </w:t>
      </w:r>
      <w:r>
        <w:rPr>
          <w:rFonts w:hint="eastAsia" w:ascii="宋体"/>
          <w:sz w:val="32"/>
          <w:szCs w:val="32"/>
        </w:rPr>
        <w:t>项目名称</w:t>
      </w:r>
    </w:p>
    <w:p>
      <w:pPr>
        <w:rPr>
          <w:rFonts w:hint="eastAsia" w:ascii="宋体"/>
          <w:sz w:val="28"/>
          <w:szCs w:val="28"/>
        </w:rPr>
      </w:pPr>
    </w:p>
    <w:p>
      <w:pPr>
        <w:rPr>
          <w:rFonts w:hint="eastAsia" w:ascii="宋体"/>
          <w:sz w:val="28"/>
          <w:szCs w:val="28"/>
        </w:rPr>
      </w:pPr>
    </w:p>
    <w:p>
      <w:pPr>
        <w:rPr>
          <w:rFonts w:hint="eastAsia" w:ascii="宋体"/>
          <w:sz w:val="28"/>
          <w:szCs w:val="28"/>
        </w:rPr>
      </w:pPr>
    </w:p>
    <w:p>
      <w:pPr>
        <w:rPr>
          <w:rFonts w:hint="eastAsia" w:ascii="宋体"/>
          <w:sz w:val="28"/>
          <w:szCs w:val="28"/>
        </w:rPr>
      </w:pPr>
    </w:p>
    <w:p>
      <w:pPr>
        <w:rPr>
          <w:rFonts w:hint="eastAsia" w:ascii="宋体"/>
          <w:sz w:val="28"/>
          <w:szCs w:val="28"/>
        </w:rPr>
      </w:pPr>
    </w:p>
    <w:p>
      <w:pPr>
        <w:rPr>
          <w:rFonts w:hint="eastAsia" w:ascii="宋体"/>
          <w:sz w:val="28"/>
          <w:szCs w:val="28"/>
        </w:rPr>
      </w:pPr>
    </w:p>
    <w:p>
      <w:pPr>
        <w:pStyle w:val="2"/>
        <w:rPr>
          <w:rFonts w:hint="eastAsia" w:ascii="宋体"/>
          <w:sz w:val="28"/>
          <w:szCs w:val="28"/>
        </w:rPr>
      </w:pPr>
    </w:p>
    <w:p>
      <w:pPr>
        <w:rPr>
          <w:rFonts w:hint="eastAsia" w:ascii="宋体"/>
          <w:sz w:val="28"/>
          <w:szCs w:val="28"/>
        </w:rPr>
      </w:pPr>
    </w:p>
    <w:p>
      <w:pPr>
        <w:pStyle w:val="2"/>
        <w:rPr>
          <w:rFonts w:hint="eastAsia" w:ascii="宋体"/>
          <w:sz w:val="28"/>
          <w:szCs w:val="28"/>
        </w:rPr>
      </w:pPr>
    </w:p>
    <w:p>
      <w:pPr>
        <w:rPr>
          <w:rFonts w:hint="eastAsia"/>
        </w:rPr>
      </w:pPr>
    </w:p>
    <w:p>
      <w:pPr>
        <w:pStyle w:val="18"/>
        <w:rPr>
          <w:rFonts w:hint="eastAsia"/>
        </w:rPr>
      </w:pPr>
    </w:p>
    <w:p>
      <w:pPr>
        <w:rPr>
          <w:rFonts w:hint="eastAsia" w:ascii="宋体"/>
          <w:sz w:val="28"/>
          <w:szCs w:val="28"/>
        </w:rPr>
      </w:pPr>
    </w:p>
    <w:p>
      <w:pPr>
        <w:jc w:val="center"/>
        <w:rPr>
          <w:rFonts w:hint="eastAsia" w:ascii="宋体"/>
          <w:sz w:val="28"/>
          <w:szCs w:val="28"/>
          <w:u w:val="single"/>
        </w:rPr>
      </w:pPr>
      <w:r>
        <w:rPr>
          <w:rFonts w:hint="eastAsia" w:ascii="宋体"/>
          <w:sz w:val="28"/>
          <w:szCs w:val="28"/>
        </w:rPr>
        <w:t>投标人：</w:t>
      </w:r>
      <w:r>
        <w:rPr>
          <w:rFonts w:hint="eastAsia" w:ascii="宋体"/>
          <w:sz w:val="28"/>
          <w:szCs w:val="28"/>
          <w:u w:val="single"/>
        </w:rPr>
        <w:t xml:space="preserve">                            </w:t>
      </w:r>
      <w:r>
        <w:rPr>
          <w:rFonts w:hint="eastAsia" w:ascii="宋体"/>
          <w:sz w:val="28"/>
          <w:szCs w:val="28"/>
        </w:rPr>
        <w:t>（</w:t>
      </w:r>
      <w:r>
        <w:rPr>
          <w:rFonts w:hint="eastAsia" w:ascii="宋体"/>
          <w:sz w:val="28"/>
          <w:szCs w:val="28"/>
          <w:lang w:eastAsia="zh-CN"/>
        </w:rPr>
        <w:t>公章</w:t>
      </w:r>
      <w:r>
        <w:rPr>
          <w:rFonts w:hint="eastAsia" w:ascii="宋体"/>
          <w:sz w:val="28"/>
          <w:szCs w:val="28"/>
        </w:rPr>
        <w:t>）</w:t>
      </w:r>
    </w:p>
    <w:p>
      <w:pPr>
        <w:jc w:val="left"/>
        <w:rPr>
          <w:rFonts w:hint="eastAsia" w:ascii="宋体"/>
          <w:sz w:val="28"/>
          <w:szCs w:val="28"/>
        </w:rPr>
      </w:pPr>
      <w:r>
        <w:rPr>
          <w:rFonts w:hint="eastAsia" w:ascii="宋体"/>
          <w:sz w:val="28"/>
          <w:szCs w:val="28"/>
        </w:rPr>
        <w:t xml:space="preserve">    </w:t>
      </w:r>
    </w:p>
    <w:p>
      <w:pPr>
        <w:ind w:firstLine="1400" w:firstLineChars="500"/>
        <w:jc w:val="left"/>
        <w:rPr>
          <w:rFonts w:hint="eastAsia" w:ascii="宋体"/>
          <w:sz w:val="28"/>
          <w:szCs w:val="28"/>
          <w:u w:val="single"/>
        </w:rPr>
      </w:pPr>
      <w:r>
        <w:rPr>
          <w:rFonts w:hint="eastAsia" w:ascii="宋体"/>
          <w:sz w:val="28"/>
          <w:szCs w:val="28"/>
        </w:rPr>
        <w:t>法定代表人：</w:t>
      </w:r>
      <w:r>
        <w:rPr>
          <w:rFonts w:hint="eastAsia" w:ascii="宋体"/>
          <w:sz w:val="28"/>
          <w:szCs w:val="28"/>
          <w:u w:val="single"/>
        </w:rPr>
        <w:t xml:space="preserve">                           </w:t>
      </w:r>
      <w:r>
        <w:rPr>
          <w:rFonts w:hint="eastAsia" w:ascii="宋体"/>
          <w:sz w:val="28"/>
          <w:szCs w:val="28"/>
        </w:rPr>
        <w:t>（</w:t>
      </w:r>
      <w:r>
        <w:rPr>
          <w:rFonts w:hint="eastAsia" w:ascii="宋体"/>
          <w:sz w:val="28"/>
          <w:szCs w:val="28"/>
          <w:lang w:eastAsia="zh-CN"/>
        </w:rPr>
        <w:t>签字或盖章</w:t>
      </w:r>
      <w:r>
        <w:rPr>
          <w:rFonts w:hint="eastAsia" w:ascii="宋体"/>
          <w:sz w:val="28"/>
          <w:szCs w:val="28"/>
        </w:rPr>
        <w:t>）</w:t>
      </w:r>
    </w:p>
    <w:p>
      <w:pPr>
        <w:jc w:val="center"/>
        <w:rPr>
          <w:rFonts w:hint="eastAsia" w:ascii="宋体"/>
          <w:sz w:val="28"/>
          <w:szCs w:val="28"/>
          <w:u w:val="single"/>
        </w:rPr>
      </w:pPr>
    </w:p>
    <w:p>
      <w:pPr>
        <w:jc w:val="center"/>
        <w:rPr>
          <w:rFonts w:hint="eastAsia" w:ascii="宋体"/>
          <w:sz w:val="28"/>
          <w:szCs w:val="28"/>
        </w:rPr>
      </w:pPr>
      <w:r>
        <w:rPr>
          <w:rFonts w:hint="eastAsia" w:ascii="宋体"/>
          <w:sz w:val="28"/>
          <w:szCs w:val="28"/>
          <w:u w:val="single"/>
        </w:rPr>
        <w:t xml:space="preserve">        </w:t>
      </w:r>
      <w:r>
        <w:rPr>
          <w:rFonts w:hint="eastAsia" w:ascii="宋体"/>
          <w:sz w:val="28"/>
          <w:szCs w:val="28"/>
        </w:rPr>
        <w:t>年</w:t>
      </w:r>
      <w:r>
        <w:rPr>
          <w:rFonts w:hint="eastAsia" w:ascii="宋体"/>
          <w:sz w:val="28"/>
          <w:szCs w:val="28"/>
          <w:u w:val="single"/>
        </w:rPr>
        <w:t xml:space="preserve">        </w:t>
      </w:r>
      <w:r>
        <w:rPr>
          <w:rFonts w:hint="eastAsia" w:ascii="宋体"/>
          <w:sz w:val="28"/>
          <w:szCs w:val="28"/>
        </w:rPr>
        <w:t>月</w:t>
      </w:r>
      <w:r>
        <w:rPr>
          <w:rFonts w:hint="eastAsia" w:ascii="宋体"/>
          <w:sz w:val="28"/>
          <w:szCs w:val="28"/>
          <w:u w:val="single"/>
        </w:rPr>
        <w:t xml:space="preserve">        </w:t>
      </w:r>
      <w:r>
        <w:rPr>
          <w:rFonts w:hint="eastAsia" w:ascii="宋体"/>
          <w:sz w:val="28"/>
          <w:szCs w:val="28"/>
        </w:rPr>
        <w:t>日</w:t>
      </w:r>
    </w:p>
    <w:p>
      <w:pPr>
        <w:spacing w:line="720" w:lineRule="auto"/>
        <w:jc w:val="center"/>
        <w:rPr>
          <w:rFonts w:hint="eastAsia" w:ascii="宋体"/>
          <w:b/>
          <w:sz w:val="36"/>
          <w:szCs w:val="36"/>
        </w:rPr>
      </w:pPr>
    </w:p>
    <w:p>
      <w:pPr>
        <w:rPr>
          <w:rFonts w:hint="eastAsia"/>
          <w:b/>
          <w:sz w:val="36"/>
          <w:szCs w:val="36"/>
        </w:rPr>
      </w:pPr>
    </w:p>
    <w:p>
      <w:pPr>
        <w:pStyle w:val="18"/>
        <w:rPr>
          <w:rFonts w:hint="eastAsia"/>
          <w:b/>
          <w:sz w:val="36"/>
          <w:szCs w:val="36"/>
        </w:rPr>
      </w:pPr>
    </w:p>
    <w:p>
      <w:pPr>
        <w:pStyle w:val="18"/>
        <w:rPr>
          <w:rFonts w:hint="eastAsia"/>
          <w:b/>
          <w:sz w:val="36"/>
          <w:szCs w:val="36"/>
        </w:rPr>
      </w:pPr>
    </w:p>
    <w:p>
      <w:pPr>
        <w:pStyle w:val="18"/>
        <w:rPr>
          <w:rFonts w:hint="eastAsia"/>
          <w:b/>
          <w:sz w:val="36"/>
          <w:szCs w:val="36"/>
        </w:rPr>
      </w:pPr>
    </w:p>
    <w:p>
      <w:pPr>
        <w:pStyle w:val="18"/>
        <w:ind w:left="0" w:leftChars="0" w:firstLine="0" w:firstLineChars="0"/>
        <w:rPr>
          <w:rFonts w:hint="eastAsia"/>
          <w:b/>
          <w:sz w:val="36"/>
          <w:szCs w:val="36"/>
        </w:rPr>
      </w:pPr>
    </w:p>
    <w:p>
      <w:pPr>
        <w:jc w:val="center"/>
        <w:rPr>
          <w:rFonts w:hint="eastAsia" w:ascii="宋体"/>
          <w:szCs w:val="21"/>
        </w:rPr>
      </w:pPr>
      <w:r>
        <w:rPr>
          <w:rFonts w:hint="eastAsia"/>
          <w:b/>
          <w:sz w:val="36"/>
          <w:szCs w:val="36"/>
        </w:rPr>
        <w:t>目   录</w:t>
      </w:r>
    </w:p>
    <w:p>
      <w:pPr>
        <w:numPr>
          <w:ilvl w:val="0"/>
          <w:numId w:val="4"/>
        </w:numPr>
        <w:spacing w:line="400" w:lineRule="exact"/>
        <w:ind w:firstLine="240" w:firstLineChars="100"/>
        <w:rPr>
          <w:rFonts w:hint="eastAsia" w:ascii="宋体"/>
          <w:sz w:val="24"/>
          <w:szCs w:val="22"/>
        </w:rPr>
      </w:pPr>
      <w:r>
        <w:rPr>
          <w:rFonts w:hint="eastAsia" w:ascii="宋体"/>
          <w:sz w:val="24"/>
          <w:szCs w:val="22"/>
        </w:rPr>
        <w:t>投标人的</w:t>
      </w:r>
      <w:r>
        <w:rPr>
          <w:rFonts w:hint="eastAsia"/>
          <w:sz w:val="24"/>
          <w:szCs w:val="22"/>
          <w:lang w:val="en-US" w:eastAsia="zh-CN"/>
        </w:rPr>
        <w:t>2019</w:t>
      </w:r>
      <w:r>
        <w:rPr>
          <w:rFonts w:hint="eastAsia" w:ascii="宋体"/>
          <w:sz w:val="24"/>
          <w:szCs w:val="22"/>
          <w:lang w:val="en-US" w:eastAsia="zh-CN"/>
        </w:rPr>
        <w:t>年安徽省滁州琅琊山零星工程监理库入库</w:t>
      </w:r>
      <w:r>
        <w:rPr>
          <w:rFonts w:hint="eastAsia"/>
          <w:sz w:val="24"/>
          <w:szCs w:val="22"/>
          <w:lang w:val="en-US" w:eastAsia="zh-CN"/>
        </w:rPr>
        <w:t>中标通知书</w:t>
      </w:r>
      <w:r>
        <w:rPr>
          <w:rFonts w:hint="eastAsia" w:ascii="宋体"/>
          <w:sz w:val="24"/>
          <w:szCs w:val="22"/>
        </w:rPr>
        <w:t>；</w:t>
      </w:r>
    </w:p>
    <w:p>
      <w:pPr>
        <w:numPr>
          <w:ilvl w:val="0"/>
          <w:numId w:val="4"/>
        </w:numPr>
        <w:spacing w:line="400" w:lineRule="exact"/>
        <w:ind w:firstLine="240" w:firstLineChars="100"/>
        <w:rPr>
          <w:rFonts w:hint="eastAsia" w:ascii="宋体"/>
          <w:sz w:val="24"/>
          <w:szCs w:val="22"/>
          <w:lang w:val="en-US" w:eastAsia="zh-CN"/>
        </w:rPr>
      </w:pPr>
      <w:r>
        <w:rPr>
          <w:rFonts w:hint="eastAsia" w:ascii="宋体"/>
          <w:sz w:val="24"/>
          <w:szCs w:val="22"/>
          <w:lang w:val="en-US" w:eastAsia="zh-CN"/>
        </w:rPr>
        <w:t>企业营业执照（或三证合一的有效证件）；</w:t>
      </w:r>
    </w:p>
    <w:p>
      <w:pPr>
        <w:numPr>
          <w:ilvl w:val="0"/>
          <w:numId w:val="4"/>
        </w:numPr>
        <w:spacing w:line="400" w:lineRule="exact"/>
        <w:ind w:firstLine="240" w:firstLineChars="100"/>
        <w:rPr>
          <w:rFonts w:hint="eastAsia" w:ascii="宋体"/>
          <w:sz w:val="24"/>
          <w:szCs w:val="22"/>
          <w:lang w:val="en-US" w:eastAsia="zh-CN"/>
        </w:rPr>
      </w:pPr>
      <w:r>
        <w:rPr>
          <w:rFonts w:hint="eastAsia" w:ascii="宋体"/>
          <w:sz w:val="24"/>
          <w:szCs w:val="22"/>
          <w:lang w:val="en-US" w:eastAsia="zh-CN"/>
        </w:rPr>
        <w:t>企业资质证书；</w:t>
      </w:r>
    </w:p>
    <w:p>
      <w:pPr>
        <w:numPr>
          <w:ilvl w:val="0"/>
          <w:numId w:val="4"/>
        </w:numPr>
        <w:spacing w:line="400" w:lineRule="exact"/>
        <w:ind w:firstLine="240" w:firstLineChars="100"/>
        <w:rPr>
          <w:rFonts w:hint="eastAsia" w:ascii="宋体"/>
          <w:sz w:val="24"/>
          <w:szCs w:val="22"/>
          <w:lang w:val="en-US" w:eastAsia="zh-CN"/>
        </w:rPr>
      </w:pPr>
      <w:r>
        <w:rPr>
          <w:rFonts w:hint="eastAsia" w:ascii="宋体"/>
          <w:sz w:val="24"/>
          <w:szCs w:val="22"/>
          <w:lang w:val="en-US" w:eastAsia="zh-CN"/>
        </w:rPr>
        <w:t>监理组织架构、监理人员名单及上岗证等有关证书；</w:t>
      </w:r>
    </w:p>
    <w:p>
      <w:pPr>
        <w:numPr>
          <w:ilvl w:val="0"/>
          <w:numId w:val="4"/>
        </w:numPr>
        <w:spacing w:line="400" w:lineRule="exact"/>
        <w:ind w:firstLine="240" w:firstLineChars="100"/>
        <w:rPr>
          <w:rFonts w:hint="eastAsia" w:ascii="宋体"/>
          <w:sz w:val="24"/>
          <w:szCs w:val="22"/>
          <w:lang w:val="en-US" w:eastAsia="zh-CN"/>
        </w:rPr>
      </w:pPr>
      <w:r>
        <w:rPr>
          <w:rFonts w:hint="eastAsia" w:ascii="宋体"/>
          <w:sz w:val="24"/>
          <w:szCs w:val="22"/>
          <w:lang w:val="en-US" w:eastAsia="zh-CN"/>
        </w:rPr>
        <w:t>拟派于本项目总监理工程师的身份证、注册监理工程师注册证书、职称证书；</w:t>
      </w:r>
    </w:p>
    <w:p>
      <w:pPr>
        <w:numPr>
          <w:ilvl w:val="0"/>
          <w:numId w:val="4"/>
        </w:numPr>
        <w:spacing w:line="400" w:lineRule="exact"/>
        <w:ind w:firstLine="240" w:firstLineChars="100"/>
        <w:rPr>
          <w:rFonts w:hint="default" w:ascii="宋体"/>
          <w:sz w:val="24"/>
          <w:szCs w:val="22"/>
          <w:lang w:val="en-US" w:eastAsia="zh-CN"/>
        </w:rPr>
      </w:pPr>
      <w:r>
        <w:rPr>
          <w:rFonts w:hint="eastAsia" w:ascii="宋体"/>
          <w:sz w:val="24"/>
          <w:szCs w:val="22"/>
          <w:lang w:val="en-US" w:eastAsia="zh-CN"/>
        </w:rPr>
        <w:t>投标报价函（格式件附件）</w:t>
      </w:r>
    </w:p>
    <w:p>
      <w:pPr>
        <w:pStyle w:val="17"/>
        <w:shd w:val="clear" w:color="auto" w:fill="auto"/>
        <w:spacing w:before="0" w:beforeAutospacing="0" w:after="0" w:afterAutospacing="0" w:line="440" w:lineRule="exact"/>
        <w:ind w:firstLine="240" w:firstLineChars="100"/>
        <w:jc w:val="both"/>
        <w:rPr>
          <w:rFonts w:hint="eastAsia" w:hAnsi="Times New Roman" w:cs="Times New Roman"/>
          <w:highlight w:val="none"/>
          <w:u w:val="none" w:color="000000"/>
        </w:rPr>
      </w:pPr>
    </w:p>
    <w:p>
      <w:pPr>
        <w:pStyle w:val="17"/>
        <w:shd w:val="clear" w:color="auto" w:fill="auto"/>
        <w:spacing w:before="0" w:beforeAutospacing="0" w:after="0" w:afterAutospacing="0" w:line="440" w:lineRule="exact"/>
        <w:ind w:firstLine="240" w:firstLineChars="100"/>
        <w:jc w:val="both"/>
        <w:rPr>
          <w:rFonts w:hint="eastAsia" w:hAnsi="Times New Roman" w:cs="Times New Roman"/>
          <w:highlight w:val="none"/>
          <w:u w:val="none" w:color="000000"/>
        </w:rPr>
      </w:pPr>
    </w:p>
    <w:p>
      <w:pPr>
        <w:pStyle w:val="17"/>
        <w:shd w:val="clear" w:color="auto" w:fill="auto"/>
        <w:spacing w:before="0" w:beforeAutospacing="0" w:after="0" w:afterAutospacing="0" w:line="440" w:lineRule="exact"/>
        <w:ind w:firstLine="240" w:firstLineChars="100"/>
        <w:jc w:val="both"/>
        <w:rPr>
          <w:rFonts w:hint="eastAsia" w:hAnsi="Times New Roman" w:cs="Times New Roman"/>
          <w:highlight w:val="none"/>
          <w:u w:val="none" w:color="000000"/>
        </w:rPr>
      </w:pPr>
    </w:p>
    <w:p>
      <w:pPr>
        <w:pStyle w:val="17"/>
        <w:shd w:val="clear" w:color="auto" w:fill="auto"/>
        <w:spacing w:before="0" w:beforeAutospacing="0" w:after="0" w:afterAutospacing="0" w:line="440" w:lineRule="exact"/>
        <w:ind w:firstLine="240" w:firstLineChars="100"/>
        <w:jc w:val="both"/>
        <w:rPr>
          <w:rFonts w:hint="eastAsia" w:hAnsi="Times New Roman" w:cs="Times New Roman"/>
          <w:highlight w:val="none"/>
          <w:u w:val="none" w:color="000000"/>
        </w:rPr>
      </w:pPr>
    </w:p>
    <w:p>
      <w:pPr>
        <w:pStyle w:val="17"/>
        <w:shd w:val="clear" w:color="auto" w:fill="auto"/>
        <w:spacing w:before="0" w:beforeAutospacing="0" w:after="0" w:afterAutospacing="0" w:line="440" w:lineRule="exact"/>
        <w:ind w:firstLine="240" w:firstLineChars="100"/>
        <w:jc w:val="both"/>
        <w:rPr>
          <w:rFonts w:hint="eastAsia" w:hAnsi="Times New Roman" w:cs="Times New Roman"/>
          <w:highlight w:val="none"/>
          <w:u w:val="none" w:color="000000"/>
        </w:rPr>
      </w:pPr>
    </w:p>
    <w:p>
      <w:pPr>
        <w:pStyle w:val="17"/>
        <w:shd w:val="clear" w:color="auto" w:fill="auto"/>
        <w:spacing w:before="0" w:beforeAutospacing="0" w:after="0" w:afterAutospacing="0" w:line="440" w:lineRule="exact"/>
        <w:ind w:firstLine="240" w:firstLineChars="100"/>
        <w:jc w:val="both"/>
        <w:rPr>
          <w:rFonts w:hint="eastAsia" w:hAnsi="Times New Roman" w:cs="Times New Roman"/>
          <w:highlight w:val="none"/>
          <w:u w:val="none" w:color="000000"/>
        </w:rPr>
      </w:pPr>
    </w:p>
    <w:p>
      <w:pPr>
        <w:pStyle w:val="17"/>
        <w:shd w:val="clear" w:color="auto" w:fill="auto"/>
        <w:spacing w:before="0" w:beforeAutospacing="0" w:after="0" w:afterAutospacing="0" w:line="440" w:lineRule="exact"/>
        <w:jc w:val="both"/>
        <w:rPr>
          <w:rFonts w:hint="eastAsia" w:hAnsi="Times New Roman" w:cs="Times New Roman"/>
          <w:highlight w:val="none"/>
          <w:u w:val="none" w:color="000000"/>
        </w:rPr>
      </w:pPr>
    </w:p>
    <w:p>
      <w:pPr>
        <w:pStyle w:val="17"/>
        <w:shd w:val="clear" w:color="auto" w:fill="auto"/>
        <w:spacing w:before="0" w:beforeAutospacing="0" w:after="0" w:afterAutospacing="0" w:line="440" w:lineRule="exact"/>
        <w:jc w:val="both"/>
        <w:rPr>
          <w:rFonts w:hint="eastAsia" w:hAnsi="Times New Roman" w:cs="Times New Roman"/>
          <w:highlight w:val="none"/>
          <w:u w:val="none" w:color="000000"/>
        </w:rPr>
      </w:pPr>
    </w:p>
    <w:p>
      <w:pPr>
        <w:pStyle w:val="17"/>
        <w:shd w:val="clear" w:color="auto" w:fill="auto"/>
        <w:spacing w:before="0" w:beforeAutospacing="0" w:after="0" w:afterAutospacing="0" w:line="440" w:lineRule="exact"/>
        <w:jc w:val="both"/>
        <w:rPr>
          <w:rFonts w:hint="eastAsia" w:hAnsi="Times New Roman" w:cs="Times New Roman"/>
          <w:highlight w:val="none"/>
          <w:u w:val="none" w:color="000000"/>
        </w:rPr>
      </w:pPr>
    </w:p>
    <w:p>
      <w:pPr>
        <w:pStyle w:val="17"/>
        <w:shd w:val="clear" w:color="auto" w:fill="auto"/>
        <w:spacing w:before="0" w:beforeAutospacing="0" w:after="0" w:afterAutospacing="0" w:line="440" w:lineRule="exact"/>
        <w:jc w:val="both"/>
        <w:rPr>
          <w:rFonts w:hint="eastAsia" w:hAnsi="Times New Roman" w:cs="Times New Roman"/>
          <w:highlight w:val="none"/>
          <w:u w:val="none" w:color="000000"/>
        </w:rPr>
      </w:pPr>
    </w:p>
    <w:p>
      <w:pPr>
        <w:pStyle w:val="17"/>
        <w:shd w:val="clear" w:color="auto" w:fill="auto"/>
        <w:spacing w:before="0" w:beforeAutospacing="0" w:after="0" w:afterAutospacing="0" w:line="440" w:lineRule="exact"/>
        <w:jc w:val="both"/>
        <w:rPr>
          <w:rFonts w:hint="eastAsia" w:hAnsi="Times New Roman" w:cs="Times New Roman"/>
          <w:highlight w:val="none"/>
          <w:u w:val="none" w:color="000000"/>
        </w:rPr>
      </w:pPr>
    </w:p>
    <w:p>
      <w:pPr>
        <w:pStyle w:val="17"/>
        <w:shd w:val="clear" w:color="auto" w:fill="auto"/>
        <w:spacing w:before="0" w:beforeAutospacing="0" w:after="0" w:afterAutospacing="0" w:line="440" w:lineRule="exact"/>
        <w:jc w:val="both"/>
        <w:rPr>
          <w:rFonts w:hint="eastAsia" w:hAnsi="Times New Roman" w:cs="Times New Roman"/>
          <w:highlight w:val="none"/>
          <w:u w:val="none" w:color="000000"/>
        </w:rPr>
      </w:pPr>
    </w:p>
    <w:p>
      <w:pPr>
        <w:pStyle w:val="17"/>
        <w:shd w:val="clear" w:color="auto" w:fill="auto"/>
        <w:spacing w:before="0" w:beforeAutospacing="0" w:after="0" w:afterAutospacing="0" w:line="440" w:lineRule="exact"/>
        <w:jc w:val="both"/>
        <w:rPr>
          <w:rFonts w:hint="eastAsia" w:hAnsi="Times New Roman" w:cs="Times New Roman"/>
          <w:highlight w:val="none"/>
          <w:u w:val="none" w:color="000000"/>
        </w:rPr>
      </w:pPr>
    </w:p>
    <w:p>
      <w:pPr>
        <w:pStyle w:val="17"/>
        <w:shd w:val="clear" w:color="auto" w:fill="auto"/>
        <w:spacing w:before="0" w:beforeAutospacing="0" w:after="0" w:afterAutospacing="0" w:line="440" w:lineRule="exact"/>
        <w:jc w:val="both"/>
        <w:rPr>
          <w:rFonts w:hint="eastAsia" w:hAnsi="Times New Roman" w:cs="Times New Roman"/>
          <w:highlight w:val="none"/>
          <w:u w:val="none" w:color="000000"/>
        </w:rPr>
      </w:pPr>
    </w:p>
    <w:p>
      <w:pPr>
        <w:pStyle w:val="17"/>
        <w:shd w:val="clear" w:color="auto" w:fill="auto"/>
        <w:spacing w:before="0" w:beforeAutospacing="0" w:after="0" w:afterAutospacing="0" w:line="440" w:lineRule="exact"/>
        <w:jc w:val="both"/>
        <w:rPr>
          <w:rFonts w:hint="eastAsia" w:hAnsi="Times New Roman" w:cs="Times New Roman"/>
          <w:highlight w:val="none"/>
          <w:u w:val="none" w:color="000000"/>
        </w:rPr>
        <w:sectPr>
          <w:headerReference r:id="rId8" w:type="default"/>
          <w:footerReference r:id="rId9" w:type="default"/>
          <w:pgSz w:w="11910" w:h="16850"/>
          <w:pgMar w:top="1260" w:right="960" w:bottom="880" w:left="1480" w:header="0" w:footer="636" w:gutter="0"/>
          <w:cols w:space="720" w:num="1"/>
        </w:sectPr>
      </w:pPr>
    </w:p>
    <w:p>
      <w:pPr>
        <w:pStyle w:val="17"/>
        <w:shd w:val="clear" w:color="auto" w:fill="auto"/>
        <w:spacing w:before="0" w:beforeAutospacing="0" w:after="0" w:afterAutospacing="0" w:line="440" w:lineRule="exact"/>
        <w:jc w:val="both"/>
        <w:rPr>
          <w:rFonts w:hint="eastAsia" w:hAnsi="Times New Roman" w:cs="Times New Roman"/>
          <w:highlight w:val="none"/>
          <w:u w:val="none" w:color="000000"/>
        </w:rPr>
      </w:pPr>
    </w:p>
    <w:p>
      <w:pPr>
        <w:pStyle w:val="17"/>
        <w:shd w:val="clear" w:color="auto" w:fill="auto"/>
        <w:spacing w:before="0" w:beforeAutospacing="0" w:after="0" w:afterAutospacing="0" w:line="440" w:lineRule="exact"/>
        <w:jc w:val="both"/>
        <w:rPr>
          <w:rFonts w:hint="eastAsia" w:hAnsi="Times New Roman" w:cs="Times New Roman"/>
          <w:highlight w:val="none"/>
          <w:u w:val="none" w:color="000000"/>
        </w:rPr>
      </w:pPr>
    </w:p>
    <w:p>
      <w:pPr>
        <w:keepNext w:val="0"/>
        <w:keepLines w:val="0"/>
        <w:pageBreakBefore w:val="0"/>
        <w:kinsoku/>
        <w:wordWrap/>
        <w:overflowPunct/>
        <w:topLinePunct w:val="0"/>
        <w:autoSpaceDE w:val="0"/>
        <w:autoSpaceDN w:val="0"/>
        <w:bidi w:val="0"/>
        <w:adjustRightInd/>
        <w:snapToGrid/>
        <w:spacing w:line="460" w:lineRule="exact"/>
        <w:ind w:left="720"/>
        <w:jc w:val="center"/>
        <w:rPr>
          <w:rFonts w:hint="eastAsia" w:ascii="宋体"/>
          <w:b/>
          <w:sz w:val="28"/>
          <w:szCs w:val="28"/>
        </w:rPr>
      </w:pPr>
      <w:r>
        <w:rPr>
          <w:rFonts w:hint="eastAsia"/>
          <w:b/>
          <w:sz w:val="28"/>
          <w:szCs w:val="28"/>
        </w:rPr>
        <w:t xml:space="preserve"> 法定代表人身份证明或授权委托书</w:t>
      </w:r>
    </w:p>
    <w:p>
      <w:pPr>
        <w:pStyle w:val="28"/>
        <w:keepNext w:val="0"/>
        <w:keepLines w:val="0"/>
        <w:pageBreakBefore w:val="0"/>
        <w:kinsoku/>
        <w:wordWrap/>
        <w:overflowPunct/>
        <w:topLinePunct w:val="0"/>
        <w:autoSpaceDE w:val="0"/>
        <w:autoSpaceDN w:val="0"/>
        <w:bidi w:val="0"/>
        <w:adjustRightInd/>
        <w:snapToGrid/>
        <w:spacing w:before="156" w:beforeLines="50" w:after="156" w:afterLines="50" w:line="460" w:lineRule="exact"/>
        <w:ind w:firstLine="180" w:firstLineChars="75"/>
        <w:rPr>
          <w:rFonts w:hint="eastAsia" w:ascii="宋体"/>
          <w:b/>
          <w:sz w:val="24"/>
          <w:szCs w:val="24"/>
        </w:rPr>
      </w:pPr>
      <w:r>
        <w:rPr>
          <w:rFonts w:hint="eastAsia" w:ascii="宋体"/>
          <w:sz w:val="24"/>
          <w:szCs w:val="24"/>
        </w:rPr>
        <w:t>1、法定代表人身份证明</w:t>
      </w:r>
    </w:p>
    <w:p>
      <w:pPr>
        <w:keepNext w:val="0"/>
        <w:keepLines w:val="0"/>
        <w:pageBreakBefore w:val="0"/>
        <w:kinsoku/>
        <w:wordWrap/>
        <w:overflowPunct/>
        <w:topLinePunct w:val="0"/>
        <w:autoSpaceDE w:val="0"/>
        <w:autoSpaceDN w:val="0"/>
        <w:bidi w:val="0"/>
        <w:adjustRightInd/>
        <w:snapToGrid/>
        <w:spacing w:line="460" w:lineRule="exact"/>
        <w:ind w:firstLine="480" w:firstLineChars="200"/>
        <w:rPr>
          <w:rFonts w:hint="eastAsia" w:ascii="宋体"/>
          <w:sz w:val="24"/>
        </w:rPr>
      </w:pPr>
      <w:r>
        <w:rPr>
          <w:rFonts w:hint="eastAsia" w:ascii="宋体"/>
          <w:sz w:val="24"/>
        </w:rPr>
        <w:t>投标人名称：</w:t>
      </w:r>
      <w:r>
        <w:rPr>
          <w:rFonts w:hint="eastAsia" w:ascii="宋体"/>
          <w:sz w:val="24"/>
          <w:u w:val="single"/>
        </w:rPr>
        <w:t xml:space="preserve">                                </w:t>
      </w:r>
      <w:r>
        <w:rPr>
          <w:rFonts w:hint="eastAsia" w:ascii="宋体"/>
          <w:sz w:val="24"/>
        </w:rPr>
        <w:t xml:space="preserve"> </w:t>
      </w:r>
    </w:p>
    <w:p>
      <w:pPr>
        <w:keepNext w:val="0"/>
        <w:keepLines w:val="0"/>
        <w:pageBreakBefore w:val="0"/>
        <w:kinsoku/>
        <w:wordWrap/>
        <w:overflowPunct/>
        <w:topLinePunct w:val="0"/>
        <w:autoSpaceDE w:val="0"/>
        <w:autoSpaceDN w:val="0"/>
        <w:bidi w:val="0"/>
        <w:adjustRightInd/>
        <w:snapToGrid/>
        <w:spacing w:line="460" w:lineRule="exact"/>
        <w:ind w:firstLine="480" w:firstLineChars="200"/>
        <w:rPr>
          <w:rFonts w:hint="eastAsia" w:ascii="宋体"/>
          <w:sz w:val="24"/>
        </w:rPr>
      </w:pPr>
      <w:r>
        <w:rPr>
          <w:rFonts w:hint="eastAsia" w:ascii="宋体"/>
          <w:sz w:val="24"/>
        </w:rPr>
        <w:t xml:space="preserve">单位性质： </w:t>
      </w:r>
      <w:r>
        <w:rPr>
          <w:rFonts w:hint="eastAsia" w:ascii="宋体"/>
          <w:sz w:val="24"/>
          <w:u w:val="single"/>
        </w:rPr>
        <w:t xml:space="preserve">                                  </w:t>
      </w:r>
      <w:r>
        <w:rPr>
          <w:rFonts w:hint="eastAsia" w:ascii="宋体"/>
          <w:sz w:val="24"/>
        </w:rPr>
        <w:t xml:space="preserve"> </w:t>
      </w:r>
    </w:p>
    <w:p>
      <w:pPr>
        <w:keepNext w:val="0"/>
        <w:keepLines w:val="0"/>
        <w:pageBreakBefore w:val="0"/>
        <w:kinsoku/>
        <w:wordWrap/>
        <w:overflowPunct/>
        <w:topLinePunct w:val="0"/>
        <w:autoSpaceDE w:val="0"/>
        <w:autoSpaceDN w:val="0"/>
        <w:bidi w:val="0"/>
        <w:adjustRightInd/>
        <w:snapToGrid/>
        <w:spacing w:line="460" w:lineRule="exact"/>
        <w:ind w:firstLine="480" w:firstLineChars="200"/>
        <w:rPr>
          <w:rFonts w:hint="eastAsia" w:ascii="宋体"/>
          <w:sz w:val="24"/>
        </w:rPr>
      </w:pPr>
      <w:r>
        <w:rPr>
          <w:rFonts w:hint="eastAsia" w:ascii="宋体"/>
          <w:sz w:val="24"/>
        </w:rPr>
        <w:t>地    址：</w:t>
      </w:r>
      <w:r>
        <w:rPr>
          <w:rFonts w:hint="eastAsia" w:ascii="宋体"/>
          <w:sz w:val="24"/>
          <w:u w:val="single"/>
        </w:rPr>
        <w:t xml:space="preserve">                                   </w:t>
      </w:r>
      <w:r>
        <w:rPr>
          <w:rFonts w:hint="eastAsia" w:ascii="宋体"/>
          <w:sz w:val="24"/>
        </w:rPr>
        <w:t xml:space="preserve"> </w:t>
      </w:r>
    </w:p>
    <w:p>
      <w:pPr>
        <w:keepNext w:val="0"/>
        <w:keepLines w:val="0"/>
        <w:pageBreakBefore w:val="0"/>
        <w:kinsoku/>
        <w:wordWrap/>
        <w:overflowPunct/>
        <w:topLinePunct w:val="0"/>
        <w:autoSpaceDE w:val="0"/>
        <w:autoSpaceDN w:val="0"/>
        <w:bidi w:val="0"/>
        <w:adjustRightInd/>
        <w:snapToGrid/>
        <w:spacing w:line="460" w:lineRule="exact"/>
        <w:ind w:firstLine="480" w:firstLineChars="200"/>
        <w:rPr>
          <w:rFonts w:hint="eastAsia" w:ascii="宋体"/>
          <w:sz w:val="24"/>
        </w:rPr>
      </w:pPr>
      <w:r>
        <w:rPr>
          <w:rFonts w:hint="eastAsia" w:ascii="宋体"/>
          <w:sz w:val="24"/>
        </w:rPr>
        <w:t>成立时间：</w:t>
      </w:r>
      <w:r>
        <w:rPr>
          <w:rFonts w:hint="eastAsia" w:ascii="宋体"/>
          <w:sz w:val="24"/>
          <w:u w:val="single"/>
        </w:rPr>
        <w:t xml:space="preserve">        </w:t>
      </w:r>
      <w:r>
        <w:rPr>
          <w:rFonts w:hint="eastAsia" w:ascii="宋体"/>
          <w:sz w:val="24"/>
        </w:rPr>
        <w:t>年</w:t>
      </w:r>
      <w:r>
        <w:rPr>
          <w:rFonts w:hint="eastAsia" w:ascii="宋体"/>
          <w:sz w:val="24"/>
          <w:u w:val="single"/>
        </w:rPr>
        <w:t xml:space="preserve">    </w:t>
      </w:r>
      <w:r>
        <w:rPr>
          <w:rFonts w:hint="eastAsia" w:ascii="宋体"/>
          <w:sz w:val="24"/>
        </w:rPr>
        <w:t>月</w:t>
      </w:r>
      <w:r>
        <w:rPr>
          <w:rFonts w:hint="eastAsia" w:ascii="宋体"/>
          <w:sz w:val="24"/>
          <w:u w:val="single"/>
        </w:rPr>
        <w:t xml:space="preserve">  </w:t>
      </w:r>
      <w:r>
        <w:rPr>
          <w:rFonts w:hint="eastAsia" w:ascii="宋体"/>
          <w:sz w:val="24"/>
        </w:rPr>
        <w:t>＿日</w:t>
      </w:r>
    </w:p>
    <w:p>
      <w:pPr>
        <w:keepNext w:val="0"/>
        <w:keepLines w:val="0"/>
        <w:pageBreakBefore w:val="0"/>
        <w:kinsoku/>
        <w:wordWrap/>
        <w:overflowPunct/>
        <w:topLinePunct w:val="0"/>
        <w:autoSpaceDE w:val="0"/>
        <w:autoSpaceDN w:val="0"/>
        <w:bidi w:val="0"/>
        <w:adjustRightInd/>
        <w:snapToGrid/>
        <w:spacing w:line="460" w:lineRule="exact"/>
        <w:ind w:firstLine="480" w:firstLineChars="200"/>
        <w:rPr>
          <w:rFonts w:hint="eastAsia" w:ascii="宋体"/>
          <w:sz w:val="24"/>
        </w:rPr>
      </w:pPr>
      <w:r>
        <w:rPr>
          <w:rFonts w:hint="eastAsia" w:ascii="宋体"/>
          <w:sz w:val="24"/>
        </w:rPr>
        <w:t>经营期限：</w:t>
      </w:r>
      <w:r>
        <w:rPr>
          <w:rFonts w:hint="eastAsia" w:ascii="宋体"/>
          <w:sz w:val="24"/>
          <w:u w:val="single"/>
        </w:rPr>
        <w:t xml:space="preserve">                                </w:t>
      </w:r>
      <w:r>
        <w:rPr>
          <w:rFonts w:hint="eastAsia" w:ascii="宋体"/>
          <w:sz w:val="24"/>
        </w:rPr>
        <w:t xml:space="preserve"> </w:t>
      </w:r>
    </w:p>
    <w:p>
      <w:pPr>
        <w:keepNext w:val="0"/>
        <w:keepLines w:val="0"/>
        <w:pageBreakBefore w:val="0"/>
        <w:kinsoku/>
        <w:wordWrap/>
        <w:overflowPunct/>
        <w:topLinePunct w:val="0"/>
        <w:autoSpaceDE w:val="0"/>
        <w:autoSpaceDN w:val="0"/>
        <w:bidi w:val="0"/>
        <w:adjustRightInd/>
        <w:snapToGrid/>
        <w:spacing w:line="460" w:lineRule="exact"/>
        <w:ind w:firstLine="1440" w:firstLineChars="200"/>
        <w:rPr>
          <w:rFonts w:hint="eastAsia" w:ascii="宋体"/>
          <w:sz w:val="24"/>
        </w:rPr>
      </w:pPr>
      <w:r>
        <w:rPr>
          <w:rFonts w:hint="eastAsia" w:ascii="宋体"/>
          <w:spacing w:val="240"/>
          <w:sz w:val="24"/>
        </w:rPr>
        <w:t>姓</w:t>
      </w:r>
      <w:r>
        <w:rPr>
          <w:rFonts w:hint="eastAsia" w:ascii="宋体"/>
          <w:sz w:val="24"/>
        </w:rPr>
        <w:t>名：</w:t>
      </w:r>
      <w:r>
        <w:rPr>
          <w:rFonts w:hint="eastAsia" w:ascii="宋体"/>
          <w:sz w:val="24"/>
          <w:u w:val="single"/>
        </w:rPr>
        <w:t xml:space="preserve">           </w:t>
      </w:r>
      <w:r>
        <w:rPr>
          <w:rFonts w:hint="eastAsia" w:ascii="宋体"/>
          <w:sz w:val="24"/>
        </w:rPr>
        <w:t>性别：</w:t>
      </w:r>
      <w:r>
        <w:rPr>
          <w:rFonts w:hint="eastAsia" w:ascii="宋体"/>
          <w:sz w:val="24"/>
          <w:u w:val="single"/>
        </w:rPr>
        <w:t xml:space="preserve">        </w:t>
      </w:r>
      <w:r>
        <w:rPr>
          <w:rFonts w:hint="eastAsia" w:ascii="宋体"/>
          <w:sz w:val="24"/>
        </w:rPr>
        <w:t>年龄：＿</w:t>
      </w:r>
      <w:r>
        <w:rPr>
          <w:rFonts w:hint="eastAsia" w:ascii="宋体"/>
          <w:sz w:val="24"/>
          <w:u w:val="single"/>
        </w:rPr>
        <w:t xml:space="preserve">  </w:t>
      </w:r>
      <w:r>
        <w:rPr>
          <w:rFonts w:hint="eastAsia" w:ascii="宋体"/>
          <w:sz w:val="24"/>
        </w:rPr>
        <w:t>职务：</w:t>
      </w:r>
      <w:r>
        <w:rPr>
          <w:rFonts w:hint="eastAsia" w:ascii="宋体"/>
          <w:sz w:val="24"/>
          <w:u w:val="single"/>
        </w:rPr>
        <w:t xml:space="preserve">       </w:t>
      </w:r>
      <w:r>
        <w:rPr>
          <w:rFonts w:hint="eastAsia" w:ascii="宋体"/>
          <w:sz w:val="24"/>
        </w:rPr>
        <w:t>_</w:t>
      </w:r>
    </w:p>
    <w:p>
      <w:pPr>
        <w:keepNext w:val="0"/>
        <w:keepLines w:val="0"/>
        <w:pageBreakBefore w:val="0"/>
        <w:kinsoku/>
        <w:wordWrap/>
        <w:overflowPunct/>
        <w:topLinePunct w:val="0"/>
        <w:autoSpaceDE w:val="0"/>
        <w:autoSpaceDN w:val="0"/>
        <w:bidi w:val="0"/>
        <w:adjustRightInd/>
        <w:snapToGrid/>
        <w:spacing w:line="460" w:lineRule="exact"/>
        <w:ind w:firstLine="480" w:firstLineChars="200"/>
        <w:rPr>
          <w:rFonts w:hint="eastAsia" w:ascii="宋体"/>
          <w:sz w:val="24"/>
        </w:rPr>
      </w:pPr>
      <w:r>
        <w:rPr>
          <w:rFonts w:hint="eastAsia" w:ascii="宋体"/>
          <w:sz w:val="24"/>
        </w:rPr>
        <w:t>系</w:t>
      </w:r>
      <w:r>
        <w:rPr>
          <w:rFonts w:hint="eastAsia" w:ascii="宋体"/>
          <w:sz w:val="24"/>
          <w:u w:val="single"/>
        </w:rPr>
        <w:t xml:space="preserve">                                </w:t>
      </w:r>
      <w:r>
        <w:rPr>
          <w:rFonts w:hint="eastAsia" w:ascii="宋体"/>
          <w:sz w:val="24"/>
        </w:rPr>
        <w:t>（投标人名称）的法定代表人。</w:t>
      </w:r>
    </w:p>
    <w:p>
      <w:pPr>
        <w:keepNext w:val="0"/>
        <w:keepLines w:val="0"/>
        <w:pageBreakBefore w:val="0"/>
        <w:kinsoku/>
        <w:wordWrap/>
        <w:overflowPunct/>
        <w:topLinePunct w:val="0"/>
        <w:autoSpaceDE w:val="0"/>
        <w:autoSpaceDN w:val="0"/>
        <w:bidi w:val="0"/>
        <w:adjustRightInd/>
        <w:snapToGrid/>
        <w:spacing w:line="460" w:lineRule="exact"/>
        <w:ind w:firstLine="960" w:firstLineChars="400"/>
        <w:rPr>
          <w:rFonts w:hint="eastAsia" w:ascii="宋体"/>
          <w:sz w:val="24"/>
        </w:rPr>
      </w:pPr>
      <w:r>
        <w:rPr>
          <w:rFonts w:hint="eastAsia" w:ascii="宋体"/>
          <w:sz w:val="24"/>
        </w:rPr>
        <w:t>特此证明。</w:t>
      </w:r>
    </w:p>
    <w:p>
      <w:pPr>
        <w:keepNext w:val="0"/>
        <w:keepLines w:val="0"/>
        <w:pageBreakBefore w:val="0"/>
        <w:kinsoku/>
        <w:wordWrap/>
        <w:overflowPunct/>
        <w:topLinePunct w:val="0"/>
        <w:autoSpaceDE w:val="0"/>
        <w:autoSpaceDN w:val="0"/>
        <w:bidi w:val="0"/>
        <w:adjustRightInd/>
        <w:snapToGrid/>
        <w:spacing w:line="460" w:lineRule="exact"/>
        <w:ind w:firstLine="480" w:firstLineChars="200"/>
        <w:rPr>
          <w:rFonts w:hint="eastAsia" w:ascii="宋体"/>
          <w:sz w:val="24"/>
        </w:rPr>
      </w:pPr>
      <w:r>
        <w:rPr>
          <w:rFonts w:hint="eastAsia" w:ascii="宋体"/>
          <w:sz w:val="24"/>
        </w:rPr>
        <w:t>附：法定代表人身份证明</w:t>
      </w:r>
    </w:p>
    <w:p>
      <w:pPr>
        <w:keepNext w:val="0"/>
        <w:keepLines w:val="0"/>
        <w:pageBreakBefore w:val="0"/>
        <w:kinsoku/>
        <w:wordWrap/>
        <w:overflowPunct/>
        <w:topLinePunct w:val="0"/>
        <w:autoSpaceDE w:val="0"/>
        <w:autoSpaceDN w:val="0"/>
        <w:bidi w:val="0"/>
        <w:adjustRightInd/>
        <w:snapToGrid/>
        <w:spacing w:line="460" w:lineRule="exact"/>
        <w:ind w:firstLine="3480" w:firstLineChars="1450"/>
        <w:rPr>
          <w:rFonts w:hint="eastAsia" w:ascii="宋体"/>
          <w:sz w:val="24"/>
        </w:rPr>
      </w:pPr>
    </w:p>
    <w:p>
      <w:pPr>
        <w:keepNext w:val="0"/>
        <w:keepLines w:val="0"/>
        <w:pageBreakBefore w:val="0"/>
        <w:kinsoku/>
        <w:wordWrap/>
        <w:overflowPunct/>
        <w:topLinePunct w:val="0"/>
        <w:autoSpaceDE w:val="0"/>
        <w:autoSpaceDN w:val="0"/>
        <w:bidi w:val="0"/>
        <w:adjustRightInd/>
        <w:snapToGrid/>
        <w:spacing w:line="460" w:lineRule="exact"/>
        <w:ind w:firstLine="3480" w:firstLineChars="1450"/>
        <w:rPr>
          <w:rFonts w:hint="eastAsia" w:ascii="宋体"/>
          <w:sz w:val="24"/>
        </w:rPr>
      </w:pPr>
      <w:r>
        <w:rPr>
          <w:rFonts w:hint="eastAsia" w:ascii="宋体"/>
          <w:sz w:val="24"/>
        </w:rPr>
        <w:t>投标人：</w:t>
      </w:r>
      <w:r>
        <w:rPr>
          <w:rFonts w:hint="eastAsia" w:ascii="宋体"/>
          <w:sz w:val="24"/>
          <w:u w:val="single"/>
        </w:rPr>
        <w:t xml:space="preserve">                 </w:t>
      </w:r>
      <w:r>
        <w:rPr>
          <w:rFonts w:hint="eastAsia" w:ascii="宋体"/>
          <w:sz w:val="24"/>
        </w:rPr>
        <w:t>（</w:t>
      </w:r>
      <w:r>
        <w:rPr>
          <w:rFonts w:hint="eastAsia" w:ascii="宋体"/>
          <w:sz w:val="28"/>
          <w:szCs w:val="28"/>
        </w:rPr>
        <w:t>签章</w:t>
      </w:r>
      <w:r>
        <w:rPr>
          <w:rFonts w:hint="eastAsia" w:ascii="宋体"/>
          <w:sz w:val="24"/>
        </w:rPr>
        <w:t>）</w:t>
      </w:r>
    </w:p>
    <w:p>
      <w:pPr>
        <w:keepNext w:val="0"/>
        <w:keepLines w:val="0"/>
        <w:pageBreakBefore w:val="0"/>
        <w:kinsoku/>
        <w:wordWrap/>
        <w:overflowPunct/>
        <w:topLinePunct w:val="0"/>
        <w:autoSpaceDE w:val="0"/>
        <w:autoSpaceDN w:val="0"/>
        <w:bidi w:val="0"/>
        <w:adjustRightInd/>
        <w:snapToGrid/>
        <w:spacing w:line="460" w:lineRule="exact"/>
        <w:rPr>
          <w:rFonts w:hint="eastAsia"/>
        </w:rPr>
      </w:pPr>
      <w:r>
        <w:rPr>
          <w:rFonts w:hint="eastAsia" w:ascii="宋体"/>
          <w:sz w:val="24"/>
        </w:rPr>
        <w:t xml:space="preserve">                                        年    月     日</w:t>
      </w:r>
    </w:p>
    <w:p>
      <w:pPr>
        <w:keepNext w:val="0"/>
        <w:keepLines w:val="0"/>
        <w:pageBreakBefore w:val="0"/>
        <w:kinsoku/>
        <w:wordWrap/>
        <w:overflowPunct/>
        <w:topLinePunct w:val="0"/>
        <w:autoSpaceDE w:val="0"/>
        <w:autoSpaceDN w:val="0"/>
        <w:bidi w:val="0"/>
        <w:adjustRightInd/>
        <w:snapToGrid/>
        <w:spacing w:before="312" w:beforeLines="100" w:after="312" w:afterLines="100" w:line="460" w:lineRule="exact"/>
        <w:ind w:firstLine="3654" w:firstLineChars="1305"/>
        <w:rPr>
          <w:rFonts w:hint="eastAsia" w:ascii="宋体"/>
          <w:sz w:val="28"/>
          <w:szCs w:val="28"/>
        </w:rPr>
      </w:pPr>
      <w:r>
        <w:rPr>
          <w:rFonts w:hint="eastAsia" w:ascii="宋体"/>
          <w:sz w:val="28"/>
          <w:szCs w:val="28"/>
        </w:rPr>
        <w:t>2、授权委托书</w:t>
      </w:r>
    </w:p>
    <w:p>
      <w:pPr>
        <w:keepNext w:val="0"/>
        <w:keepLines w:val="0"/>
        <w:pageBreakBefore w:val="0"/>
        <w:kinsoku/>
        <w:wordWrap/>
        <w:overflowPunct/>
        <w:topLinePunct w:val="0"/>
        <w:autoSpaceDE w:val="0"/>
        <w:autoSpaceDN w:val="0"/>
        <w:bidi w:val="0"/>
        <w:adjustRightInd/>
        <w:snapToGrid/>
        <w:spacing w:line="460" w:lineRule="exact"/>
        <w:ind w:firstLine="480" w:firstLineChars="200"/>
        <w:rPr>
          <w:rFonts w:hint="eastAsia" w:ascii="宋体"/>
          <w:sz w:val="24"/>
        </w:rPr>
      </w:pPr>
      <w:r>
        <w:rPr>
          <w:rFonts w:hint="eastAsia" w:ascii="宋体"/>
          <w:sz w:val="24"/>
        </w:rPr>
        <w:t xml:space="preserve">本人 </w:t>
      </w:r>
      <w:r>
        <w:rPr>
          <w:rFonts w:hint="eastAsia" w:ascii="宋体"/>
          <w:sz w:val="24"/>
          <w:u w:val="single"/>
        </w:rPr>
        <w:t xml:space="preserve">    </w:t>
      </w:r>
      <w:r>
        <w:rPr>
          <w:rFonts w:hint="eastAsia" w:ascii="宋体"/>
          <w:sz w:val="24"/>
        </w:rPr>
        <w:t>（姓名）系</w:t>
      </w:r>
      <w:r>
        <w:rPr>
          <w:rFonts w:hint="eastAsia" w:ascii="宋体"/>
          <w:sz w:val="24"/>
          <w:u w:val="single"/>
        </w:rPr>
        <w:t xml:space="preserve">       </w:t>
      </w:r>
      <w:r>
        <w:rPr>
          <w:rFonts w:hint="eastAsia" w:ascii="宋体"/>
          <w:sz w:val="24"/>
        </w:rPr>
        <w:t>（投标人）的法定代表人，现委托</w:t>
      </w:r>
      <w:r>
        <w:rPr>
          <w:rFonts w:hint="eastAsia" w:ascii="宋体"/>
          <w:sz w:val="24"/>
          <w:u w:val="single"/>
        </w:rPr>
        <w:t xml:space="preserve">   </w:t>
      </w:r>
      <w:r>
        <w:rPr>
          <w:rFonts w:hint="eastAsia" w:ascii="宋体"/>
          <w:sz w:val="24"/>
        </w:rPr>
        <w:t>（姓名）为我方代理人。代理人根据授权，以我方名义签署、澄清、说明、补正、递交、撤回、修改 “</w:t>
      </w:r>
      <w:r>
        <w:rPr>
          <w:rFonts w:hint="eastAsia" w:ascii="宋体"/>
          <w:sz w:val="24"/>
          <w:u w:val="single"/>
        </w:rPr>
        <w:t xml:space="preserve">      </w:t>
      </w:r>
      <w:r>
        <w:rPr>
          <w:rFonts w:hint="eastAsia" w:ascii="宋体"/>
          <w:sz w:val="24"/>
        </w:rPr>
        <w:t xml:space="preserve"> ”(项目名称、编号）交易文件，全权处理与该项目投标、评审答疑、签订合同以及与合同执行有关的一切事务，其法律后果由我方承担。</w:t>
      </w:r>
    </w:p>
    <w:p>
      <w:pPr>
        <w:keepNext w:val="0"/>
        <w:keepLines w:val="0"/>
        <w:pageBreakBefore w:val="0"/>
        <w:kinsoku/>
        <w:wordWrap/>
        <w:overflowPunct/>
        <w:topLinePunct w:val="0"/>
        <w:autoSpaceDE w:val="0"/>
        <w:autoSpaceDN w:val="0"/>
        <w:bidi w:val="0"/>
        <w:adjustRightInd/>
        <w:snapToGrid/>
        <w:spacing w:line="460" w:lineRule="exact"/>
        <w:ind w:firstLine="480" w:firstLineChars="200"/>
        <w:rPr>
          <w:rFonts w:hint="eastAsia" w:ascii="宋体"/>
          <w:sz w:val="24"/>
        </w:rPr>
      </w:pPr>
      <w:r>
        <w:rPr>
          <w:rFonts w:hint="eastAsia" w:ascii="宋体"/>
          <w:sz w:val="24"/>
        </w:rPr>
        <w:t xml:space="preserve">委托期限：                                </w:t>
      </w:r>
    </w:p>
    <w:p>
      <w:pPr>
        <w:keepNext w:val="0"/>
        <w:keepLines w:val="0"/>
        <w:pageBreakBefore w:val="0"/>
        <w:kinsoku/>
        <w:wordWrap/>
        <w:overflowPunct/>
        <w:topLinePunct w:val="0"/>
        <w:autoSpaceDE w:val="0"/>
        <w:autoSpaceDN w:val="0"/>
        <w:bidi w:val="0"/>
        <w:adjustRightInd/>
        <w:snapToGrid/>
        <w:spacing w:line="460" w:lineRule="exact"/>
        <w:ind w:firstLine="480" w:firstLineChars="200"/>
        <w:rPr>
          <w:rFonts w:hint="eastAsia" w:ascii="宋体"/>
          <w:sz w:val="24"/>
        </w:rPr>
      </w:pPr>
      <w:r>
        <w:rPr>
          <w:rFonts w:hint="eastAsia" w:ascii="宋体"/>
          <w:sz w:val="24"/>
        </w:rPr>
        <w:t>代理人无转委托权。</w:t>
      </w:r>
    </w:p>
    <w:p>
      <w:pPr>
        <w:keepNext w:val="0"/>
        <w:keepLines w:val="0"/>
        <w:pageBreakBefore w:val="0"/>
        <w:kinsoku/>
        <w:wordWrap/>
        <w:overflowPunct/>
        <w:topLinePunct w:val="0"/>
        <w:autoSpaceDE w:val="0"/>
        <w:autoSpaceDN w:val="0"/>
        <w:bidi w:val="0"/>
        <w:adjustRightInd/>
        <w:snapToGrid/>
        <w:spacing w:line="460" w:lineRule="exact"/>
        <w:ind w:firstLine="480" w:firstLineChars="200"/>
        <w:rPr>
          <w:rFonts w:hint="eastAsia" w:ascii="宋体"/>
          <w:sz w:val="24"/>
        </w:rPr>
      </w:pPr>
      <w:r>
        <w:rPr>
          <w:rFonts w:hint="eastAsia" w:ascii="宋体"/>
          <w:sz w:val="24"/>
        </w:rPr>
        <w:t>附：委托代理人身份证明</w:t>
      </w:r>
    </w:p>
    <w:p>
      <w:pPr>
        <w:keepNext w:val="0"/>
        <w:keepLines w:val="0"/>
        <w:pageBreakBefore w:val="0"/>
        <w:kinsoku/>
        <w:wordWrap/>
        <w:overflowPunct/>
        <w:topLinePunct w:val="0"/>
        <w:autoSpaceDE w:val="0"/>
        <w:autoSpaceDN w:val="0"/>
        <w:bidi w:val="0"/>
        <w:adjustRightInd/>
        <w:snapToGrid/>
        <w:spacing w:line="460" w:lineRule="exact"/>
        <w:rPr>
          <w:rFonts w:hint="eastAsia" w:ascii="宋体"/>
          <w:sz w:val="24"/>
        </w:rPr>
      </w:pPr>
      <w:r>
        <w:rPr>
          <w:rFonts w:hint="eastAsia" w:ascii="宋体"/>
          <w:sz w:val="24"/>
        </w:rPr>
        <w:t xml:space="preserve">                         投标人（</w:t>
      </w:r>
      <w:r>
        <w:rPr>
          <w:rFonts w:hint="eastAsia" w:ascii="宋体"/>
          <w:sz w:val="24"/>
          <w:lang w:eastAsia="zh-CN"/>
        </w:rPr>
        <w:t>盖章</w:t>
      </w:r>
      <w:r>
        <w:rPr>
          <w:rFonts w:hint="eastAsia" w:ascii="宋体"/>
          <w:sz w:val="24"/>
        </w:rPr>
        <w:t>）：</w:t>
      </w:r>
    </w:p>
    <w:p>
      <w:pPr>
        <w:keepNext w:val="0"/>
        <w:keepLines w:val="0"/>
        <w:pageBreakBefore w:val="0"/>
        <w:kinsoku/>
        <w:wordWrap/>
        <w:overflowPunct/>
        <w:topLinePunct w:val="0"/>
        <w:autoSpaceDE w:val="0"/>
        <w:autoSpaceDN w:val="0"/>
        <w:bidi w:val="0"/>
        <w:adjustRightInd/>
        <w:snapToGrid/>
        <w:spacing w:line="460" w:lineRule="exact"/>
        <w:ind w:firstLine="2280" w:firstLineChars="950"/>
        <w:rPr>
          <w:rFonts w:hint="eastAsia" w:ascii="宋体"/>
          <w:sz w:val="24"/>
        </w:rPr>
      </w:pPr>
      <w:r>
        <w:rPr>
          <w:rFonts w:hint="eastAsia" w:ascii="宋体"/>
          <w:sz w:val="24"/>
        </w:rPr>
        <w:t>法定代表人（身份证号码）：             （</w:t>
      </w:r>
      <w:r>
        <w:rPr>
          <w:rFonts w:hint="eastAsia" w:ascii="宋体"/>
          <w:sz w:val="24"/>
          <w:lang w:eastAsia="zh-CN"/>
        </w:rPr>
        <w:t>签字或盖章</w:t>
      </w:r>
      <w:r>
        <w:rPr>
          <w:rFonts w:hint="eastAsia" w:ascii="宋体"/>
          <w:sz w:val="24"/>
        </w:rPr>
        <w:t>）</w:t>
      </w:r>
    </w:p>
    <w:p>
      <w:pPr>
        <w:keepNext w:val="0"/>
        <w:keepLines w:val="0"/>
        <w:pageBreakBefore w:val="0"/>
        <w:kinsoku/>
        <w:wordWrap/>
        <w:overflowPunct/>
        <w:topLinePunct w:val="0"/>
        <w:autoSpaceDE w:val="0"/>
        <w:autoSpaceDN w:val="0"/>
        <w:bidi w:val="0"/>
        <w:adjustRightInd/>
        <w:snapToGrid/>
        <w:spacing w:line="460" w:lineRule="exact"/>
        <w:ind w:firstLine="2820" w:firstLineChars="1175"/>
        <w:rPr>
          <w:rFonts w:hint="eastAsia" w:ascii="宋体"/>
          <w:sz w:val="24"/>
        </w:rPr>
      </w:pPr>
      <w:r>
        <w:rPr>
          <w:rFonts w:hint="eastAsia" w:ascii="宋体"/>
          <w:sz w:val="24"/>
        </w:rPr>
        <w:t xml:space="preserve">              年    月    日</w:t>
      </w:r>
    </w:p>
    <w:p>
      <w:pPr>
        <w:keepNext w:val="0"/>
        <w:keepLines w:val="0"/>
        <w:pageBreakBefore w:val="0"/>
        <w:kinsoku/>
        <w:wordWrap/>
        <w:overflowPunct/>
        <w:topLinePunct w:val="0"/>
        <w:autoSpaceDE w:val="0"/>
        <w:autoSpaceDN w:val="0"/>
        <w:bidi w:val="0"/>
        <w:adjustRightInd/>
        <w:snapToGrid/>
        <w:spacing w:line="460" w:lineRule="exact"/>
        <w:ind w:firstLine="562" w:firstLineChars="200"/>
        <w:rPr>
          <w:rFonts w:hint="eastAsia" w:cs="Arial"/>
          <w:b/>
          <w:bCs/>
          <w:sz w:val="30"/>
          <w:szCs w:val="30"/>
        </w:rPr>
        <w:sectPr>
          <w:pgSz w:w="11910" w:h="16850"/>
          <w:pgMar w:top="1260" w:right="960" w:bottom="880" w:left="1480" w:header="0" w:footer="636" w:gutter="0"/>
          <w:cols w:space="720" w:num="1"/>
        </w:sectPr>
      </w:pPr>
      <w:r>
        <w:rPr>
          <w:rFonts w:hint="eastAsia"/>
          <w:b/>
          <w:color w:val="FF0000"/>
          <w:sz w:val="28"/>
          <w:szCs w:val="28"/>
          <w:u w:val="single"/>
        </w:rPr>
        <w:t>（开标现场需手持一份本授权委托书并加盖红鲜章）</w:t>
      </w:r>
      <w:bookmarkStart w:id="70" w:name="_Toc15144"/>
    </w:p>
    <w:bookmarkEnd w:id="70"/>
    <w:p>
      <w:pPr>
        <w:jc w:val="center"/>
        <w:outlineLvl w:val="1"/>
        <w:rPr>
          <w:rFonts w:hint="eastAsia" w:ascii="宋体" w:cs="宋体"/>
          <w:b/>
          <w:bCs/>
          <w:sz w:val="36"/>
        </w:rPr>
      </w:pPr>
    </w:p>
    <w:p>
      <w:pPr>
        <w:jc w:val="center"/>
        <w:outlineLvl w:val="1"/>
        <w:rPr>
          <w:rFonts w:hint="eastAsia" w:ascii="宋体" w:cs="宋体"/>
          <w:b/>
          <w:bCs/>
          <w:sz w:val="36"/>
        </w:rPr>
      </w:pPr>
    </w:p>
    <w:p>
      <w:pPr>
        <w:jc w:val="center"/>
        <w:outlineLvl w:val="1"/>
        <w:rPr>
          <w:rFonts w:ascii="宋体" w:cs="宋体"/>
          <w:b/>
          <w:bCs/>
          <w:sz w:val="36"/>
        </w:rPr>
      </w:pPr>
      <w:r>
        <w:rPr>
          <w:rFonts w:hint="eastAsia" w:ascii="宋体" w:cs="宋体"/>
          <w:b/>
          <w:bCs/>
          <w:sz w:val="36"/>
        </w:rPr>
        <w:t>拟组建的监理部人员情况一览表</w:t>
      </w:r>
    </w:p>
    <w:p>
      <w:pPr>
        <w:rPr>
          <w:rFonts w:ascii="宋体" w:cs="宋体"/>
          <w:sz w:val="24"/>
        </w:rPr>
      </w:pPr>
    </w:p>
    <w:tbl>
      <w:tblPr>
        <w:tblStyle w:val="20"/>
        <w:tblW w:w="9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946"/>
        <w:gridCol w:w="947"/>
        <w:gridCol w:w="1388"/>
        <w:gridCol w:w="1549"/>
        <w:gridCol w:w="1588"/>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575" w:type="dxa"/>
            <w:vAlign w:val="center"/>
          </w:tcPr>
          <w:p>
            <w:pPr>
              <w:jc w:val="center"/>
              <w:rPr>
                <w:rFonts w:ascii="宋体" w:cs="宋体"/>
                <w:sz w:val="24"/>
              </w:rPr>
            </w:pPr>
            <w:r>
              <w:rPr>
                <w:rFonts w:hint="eastAsia" w:ascii="宋体" w:cs="宋体"/>
                <w:sz w:val="24"/>
              </w:rPr>
              <w:t>姓  名</w:t>
            </w:r>
          </w:p>
        </w:tc>
        <w:tc>
          <w:tcPr>
            <w:tcW w:w="946" w:type="dxa"/>
            <w:vAlign w:val="center"/>
          </w:tcPr>
          <w:p>
            <w:pPr>
              <w:jc w:val="center"/>
              <w:rPr>
                <w:rFonts w:ascii="宋体" w:cs="宋体"/>
                <w:sz w:val="24"/>
              </w:rPr>
            </w:pPr>
            <w:r>
              <w:rPr>
                <w:rFonts w:hint="eastAsia" w:ascii="宋体" w:cs="宋体"/>
                <w:sz w:val="24"/>
              </w:rPr>
              <w:t>年龄</w:t>
            </w:r>
          </w:p>
        </w:tc>
        <w:tc>
          <w:tcPr>
            <w:tcW w:w="947" w:type="dxa"/>
            <w:vAlign w:val="center"/>
          </w:tcPr>
          <w:p>
            <w:pPr>
              <w:jc w:val="center"/>
              <w:rPr>
                <w:rFonts w:ascii="宋体" w:cs="宋体"/>
                <w:sz w:val="24"/>
              </w:rPr>
            </w:pPr>
            <w:r>
              <w:rPr>
                <w:rFonts w:hint="eastAsia" w:ascii="宋体" w:cs="宋体"/>
                <w:sz w:val="24"/>
              </w:rPr>
              <w:t>性别</w:t>
            </w:r>
          </w:p>
        </w:tc>
        <w:tc>
          <w:tcPr>
            <w:tcW w:w="1388" w:type="dxa"/>
            <w:vAlign w:val="center"/>
          </w:tcPr>
          <w:p>
            <w:pPr>
              <w:jc w:val="center"/>
              <w:rPr>
                <w:rFonts w:ascii="宋体" w:cs="宋体"/>
                <w:sz w:val="24"/>
              </w:rPr>
            </w:pPr>
            <w:r>
              <w:rPr>
                <w:rFonts w:hint="eastAsia" w:ascii="宋体" w:cs="宋体"/>
                <w:sz w:val="24"/>
              </w:rPr>
              <w:t>职称</w:t>
            </w:r>
          </w:p>
        </w:tc>
        <w:tc>
          <w:tcPr>
            <w:tcW w:w="1549" w:type="dxa"/>
            <w:vAlign w:val="center"/>
          </w:tcPr>
          <w:p>
            <w:pPr>
              <w:jc w:val="center"/>
              <w:rPr>
                <w:rFonts w:ascii="宋体" w:cs="宋体"/>
                <w:sz w:val="24"/>
              </w:rPr>
            </w:pPr>
            <w:r>
              <w:rPr>
                <w:rFonts w:hint="eastAsia" w:ascii="宋体" w:cs="宋体"/>
                <w:sz w:val="24"/>
              </w:rPr>
              <w:t>拟任职务</w:t>
            </w:r>
          </w:p>
        </w:tc>
        <w:tc>
          <w:tcPr>
            <w:tcW w:w="1588" w:type="dxa"/>
            <w:vAlign w:val="center"/>
          </w:tcPr>
          <w:p>
            <w:pPr>
              <w:jc w:val="center"/>
              <w:rPr>
                <w:rFonts w:ascii="宋体" w:cs="宋体"/>
                <w:sz w:val="24"/>
              </w:rPr>
            </w:pPr>
            <w:r>
              <w:rPr>
                <w:rFonts w:hint="eastAsia" w:ascii="宋体" w:cs="宋体"/>
                <w:sz w:val="24"/>
              </w:rPr>
              <w:t>持证名称</w:t>
            </w:r>
          </w:p>
        </w:tc>
        <w:tc>
          <w:tcPr>
            <w:tcW w:w="1562" w:type="dxa"/>
            <w:vAlign w:val="center"/>
          </w:tcPr>
          <w:p>
            <w:pPr>
              <w:jc w:val="center"/>
              <w:rPr>
                <w:rFonts w:ascii="宋体" w:cs="宋体"/>
                <w:sz w:val="24"/>
              </w:rPr>
            </w:pPr>
            <w:r>
              <w:rPr>
                <w:rFonts w:hint="eastAsia" w:ascii="宋体" w:cs="宋体"/>
                <w:sz w:val="24"/>
              </w:rPr>
              <w:t>持证证号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575" w:type="dxa"/>
            <w:vAlign w:val="center"/>
          </w:tcPr>
          <w:p>
            <w:pPr>
              <w:jc w:val="center"/>
              <w:rPr>
                <w:rFonts w:ascii="宋体" w:cs="宋体"/>
                <w:sz w:val="24"/>
              </w:rPr>
            </w:pPr>
          </w:p>
        </w:tc>
        <w:tc>
          <w:tcPr>
            <w:tcW w:w="946" w:type="dxa"/>
            <w:vAlign w:val="center"/>
          </w:tcPr>
          <w:p>
            <w:pPr>
              <w:jc w:val="center"/>
              <w:rPr>
                <w:rFonts w:ascii="宋体" w:cs="宋体"/>
                <w:sz w:val="24"/>
              </w:rPr>
            </w:pPr>
          </w:p>
        </w:tc>
        <w:tc>
          <w:tcPr>
            <w:tcW w:w="947" w:type="dxa"/>
            <w:vAlign w:val="center"/>
          </w:tcPr>
          <w:p>
            <w:pPr>
              <w:jc w:val="center"/>
              <w:rPr>
                <w:rFonts w:ascii="宋体" w:cs="宋体"/>
                <w:sz w:val="24"/>
              </w:rPr>
            </w:pPr>
          </w:p>
        </w:tc>
        <w:tc>
          <w:tcPr>
            <w:tcW w:w="1388" w:type="dxa"/>
            <w:vAlign w:val="center"/>
          </w:tcPr>
          <w:p>
            <w:pPr>
              <w:jc w:val="center"/>
              <w:rPr>
                <w:rFonts w:ascii="宋体" w:cs="宋体"/>
                <w:sz w:val="24"/>
              </w:rPr>
            </w:pPr>
          </w:p>
        </w:tc>
        <w:tc>
          <w:tcPr>
            <w:tcW w:w="1549" w:type="dxa"/>
            <w:vAlign w:val="center"/>
          </w:tcPr>
          <w:p>
            <w:pPr>
              <w:jc w:val="center"/>
              <w:rPr>
                <w:rFonts w:ascii="宋体" w:cs="宋体"/>
                <w:sz w:val="24"/>
              </w:rPr>
            </w:pPr>
          </w:p>
        </w:tc>
        <w:tc>
          <w:tcPr>
            <w:tcW w:w="1588" w:type="dxa"/>
            <w:vAlign w:val="center"/>
          </w:tcPr>
          <w:p>
            <w:pPr>
              <w:jc w:val="center"/>
              <w:rPr>
                <w:rFonts w:ascii="宋体" w:cs="宋体"/>
                <w:sz w:val="24"/>
              </w:rPr>
            </w:pPr>
          </w:p>
        </w:tc>
        <w:tc>
          <w:tcPr>
            <w:tcW w:w="1562" w:type="dxa"/>
            <w:vAlign w:val="center"/>
          </w:tcPr>
          <w:p>
            <w:pPr>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575" w:type="dxa"/>
            <w:vAlign w:val="center"/>
          </w:tcPr>
          <w:p>
            <w:pPr>
              <w:jc w:val="center"/>
              <w:rPr>
                <w:rFonts w:ascii="宋体" w:cs="宋体"/>
                <w:sz w:val="24"/>
              </w:rPr>
            </w:pPr>
          </w:p>
        </w:tc>
        <w:tc>
          <w:tcPr>
            <w:tcW w:w="946" w:type="dxa"/>
            <w:vAlign w:val="center"/>
          </w:tcPr>
          <w:p>
            <w:pPr>
              <w:jc w:val="center"/>
              <w:rPr>
                <w:rFonts w:ascii="宋体" w:cs="宋体"/>
                <w:sz w:val="24"/>
              </w:rPr>
            </w:pPr>
          </w:p>
        </w:tc>
        <w:tc>
          <w:tcPr>
            <w:tcW w:w="947" w:type="dxa"/>
            <w:vAlign w:val="center"/>
          </w:tcPr>
          <w:p>
            <w:pPr>
              <w:jc w:val="center"/>
              <w:rPr>
                <w:rFonts w:ascii="宋体" w:cs="宋体"/>
                <w:sz w:val="24"/>
              </w:rPr>
            </w:pPr>
          </w:p>
        </w:tc>
        <w:tc>
          <w:tcPr>
            <w:tcW w:w="1388" w:type="dxa"/>
            <w:vAlign w:val="center"/>
          </w:tcPr>
          <w:p>
            <w:pPr>
              <w:jc w:val="center"/>
              <w:rPr>
                <w:rFonts w:ascii="宋体" w:cs="宋体"/>
                <w:sz w:val="24"/>
              </w:rPr>
            </w:pPr>
          </w:p>
        </w:tc>
        <w:tc>
          <w:tcPr>
            <w:tcW w:w="1549" w:type="dxa"/>
            <w:vAlign w:val="center"/>
          </w:tcPr>
          <w:p>
            <w:pPr>
              <w:jc w:val="center"/>
              <w:rPr>
                <w:rFonts w:ascii="宋体" w:cs="宋体"/>
                <w:sz w:val="24"/>
              </w:rPr>
            </w:pPr>
          </w:p>
        </w:tc>
        <w:tc>
          <w:tcPr>
            <w:tcW w:w="1588" w:type="dxa"/>
            <w:vAlign w:val="center"/>
          </w:tcPr>
          <w:p>
            <w:pPr>
              <w:jc w:val="center"/>
              <w:rPr>
                <w:rFonts w:ascii="宋体" w:cs="宋体"/>
                <w:sz w:val="24"/>
              </w:rPr>
            </w:pPr>
          </w:p>
        </w:tc>
        <w:tc>
          <w:tcPr>
            <w:tcW w:w="1562" w:type="dxa"/>
            <w:vAlign w:val="center"/>
          </w:tcPr>
          <w:p>
            <w:pPr>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575" w:type="dxa"/>
            <w:vAlign w:val="center"/>
          </w:tcPr>
          <w:p>
            <w:pPr>
              <w:jc w:val="center"/>
              <w:rPr>
                <w:rFonts w:ascii="宋体" w:cs="宋体"/>
                <w:sz w:val="24"/>
              </w:rPr>
            </w:pPr>
          </w:p>
        </w:tc>
        <w:tc>
          <w:tcPr>
            <w:tcW w:w="946" w:type="dxa"/>
            <w:vAlign w:val="center"/>
          </w:tcPr>
          <w:p>
            <w:pPr>
              <w:jc w:val="center"/>
              <w:rPr>
                <w:rFonts w:ascii="宋体" w:cs="宋体"/>
                <w:sz w:val="24"/>
              </w:rPr>
            </w:pPr>
          </w:p>
        </w:tc>
        <w:tc>
          <w:tcPr>
            <w:tcW w:w="947" w:type="dxa"/>
            <w:vAlign w:val="center"/>
          </w:tcPr>
          <w:p>
            <w:pPr>
              <w:jc w:val="center"/>
              <w:rPr>
                <w:rFonts w:ascii="宋体" w:cs="宋体"/>
                <w:sz w:val="24"/>
              </w:rPr>
            </w:pPr>
          </w:p>
        </w:tc>
        <w:tc>
          <w:tcPr>
            <w:tcW w:w="1388" w:type="dxa"/>
            <w:vAlign w:val="center"/>
          </w:tcPr>
          <w:p>
            <w:pPr>
              <w:jc w:val="center"/>
              <w:rPr>
                <w:rFonts w:ascii="宋体" w:cs="宋体"/>
                <w:sz w:val="24"/>
              </w:rPr>
            </w:pPr>
          </w:p>
        </w:tc>
        <w:tc>
          <w:tcPr>
            <w:tcW w:w="1549" w:type="dxa"/>
            <w:vAlign w:val="center"/>
          </w:tcPr>
          <w:p>
            <w:pPr>
              <w:jc w:val="center"/>
              <w:rPr>
                <w:rFonts w:ascii="宋体" w:cs="宋体"/>
                <w:sz w:val="24"/>
              </w:rPr>
            </w:pPr>
          </w:p>
        </w:tc>
        <w:tc>
          <w:tcPr>
            <w:tcW w:w="1588" w:type="dxa"/>
            <w:vAlign w:val="center"/>
          </w:tcPr>
          <w:p>
            <w:pPr>
              <w:jc w:val="center"/>
              <w:rPr>
                <w:rFonts w:ascii="宋体" w:cs="宋体"/>
                <w:sz w:val="24"/>
              </w:rPr>
            </w:pPr>
          </w:p>
        </w:tc>
        <w:tc>
          <w:tcPr>
            <w:tcW w:w="1562" w:type="dxa"/>
            <w:vAlign w:val="center"/>
          </w:tcPr>
          <w:p>
            <w:pPr>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575" w:type="dxa"/>
            <w:vAlign w:val="center"/>
          </w:tcPr>
          <w:p>
            <w:pPr>
              <w:jc w:val="center"/>
              <w:rPr>
                <w:rFonts w:ascii="宋体" w:cs="宋体"/>
                <w:sz w:val="24"/>
              </w:rPr>
            </w:pPr>
          </w:p>
        </w:tc>
        <w:tc>
          <w:tcPr>
            <w:tcW w:w="946" w:type="dxa"/>
            <w:vAlign w:val="center"/>
          </w:tcPr>
          <w:p>
            <w:pPr>
              <w:jc w:val="center"/>
              <w:rPr>
                <w:rFonts w:ascii="宋体" w:cs="宋体"/>
                <w:sz w:val="24"/>
              </w:rPr>
            </w:pPr>
          </w:p>
        </w:tc>
        <w:tc>
          <w:tcPr>
            <w:tcW w:w="947" w:type="dxa"/>
            <w:vAlign w:val="center"/>
          </w:tcPr>
          <w:p>
            <w:pPr>
              <w:jc w:val="center"/>
              <w:rPr>
                <w:rFonts w:ascii="宋体" w:cs="宋体"/>
                <w:sz w:val="24"/>
              </w:rPr>
            </w:pPr>
          </w:p>
        </w:tc>
        <w:tc>
          <w:tcPr>
            <w:tcW w:w="1388" w:type="dxa"/>
            <w:vAlign w:val="center"/>
          </w:tcPr>
          <w:p>
            <w:pPr>
              <w:jc w:val="center"/>
              <w:rPr>
                <w:rFonts w:ascii="宋体" w:cs="宋体"/>
                <w:sz w:val="24"/>
              </w:rPr>
            </w:pPr>
          </w:p>
        </w:tc>
        <w:tc>
          <w:tcPr>
            <w:tcW w:w="1549" w:type="dxa"/>
            <w:vAlign w:val="center"/>
          </w:tcPr>
          <w:p>
            <w:pPr>
              <w:jc w:val="center"/>
              <w:rPr>
                <w:rFonts w:ascii="宋体" w:cs="宋体"/>
                <w:sz w:val="24"/>
              </w:rPr>
            </w:pPr>
          </w:p>
        </w:tc>
        <w:tc>
          <w:tcPr>
            <w:tcW w:w="1588" w:type="dxa"/>
            <w:vAlign w:val="center"/>
          </w:tcPr>
          <w:p>
            <w:pPr>
              <w:jc w:val="center"/>
              <w:rPr>
                <w:rFonts w:ascii="宋体" w:cs="宋体"/>
                <w:sz w:val="24"/>
              </w:rPr>
            </w:pPr>
          </w:p>
        </w:tc>
        <w:tc>
          <w:tcPr>
            <w:tcW w:w="1562" w:type="dxa"/>
            <w:vAlign w:val="center"/>
          </w:tcPr>
          <w:p>
            <w:pPr>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575" w:type="dxa"/>
            <w:vAlign w:val="center"/>
          </w:tcPr>
          <w:p>
            <w:pPr>
              <w:jc w:val="center"/>
              <w:rPr>
                <w:rFonts w:ascii="宋体" w:cs="宋体"/>
                <w:sz w:val="24"/>
              </w:rPr>
            </w:pPr>
          </w:p>
        </w:tc>
        <w:tc>
          <w:tcPr>
            <w:tcW w:w="946" w:type="dxa"/>
            <w:vAlign w:val="center"/>
          </w:tcPr>
          <w:p>
            <w:pPr>
              <w:jc w:val="center"/>
              <w:rPr>
                <w:rFonts w:ascii="宋体" w:cs="宋体"/>
                <w:sz w:val="24"/>
              </w:rPr>
            </w:pPr>
          </w:p>
        </w:tc>
        <w:tc>
          <w:tcPr>
            <w:tcW w:w="947" w:type="dxa"/>
            <w:vAlign w:val="center"/>
          </w:tcPr>
          <w:p>
            <w:pPr>
              <w:jc w:val="center"/>
              <w:rPr>
                <w:rFonts w:ascii="宋体" w:cs="宋体"/>
                <w:sz w:val="24"/>
              </w:rPr>
            </w:pPr>
          </w:p>
        </w:tc>
        <w:tc>
          <w:tcPr>
            <w:tcW w:w="1388" w:type="dxa"/>
            <w:vAlign w:val="center"/>
          </w:tcPr>
          <w:p>
            <w:pPr>
              <w:jc w:val="center"/>
              <w:rPr>
                <w:rFonts w:ascii="宋体" w:cs="宋体"/>
                <w:sz w:val="24"/>
              </w:rPr>
            </w:pPr>
          </w:p>
        </w:tc>
        <w:tc>
          <w:tcPr>
            <w:tcW w:w="1549" w:type="dxa"/>
            <w:vAlign w:val="center"/>
          </w:tcPr>
          <w:p>
            <w:pPr>
              <w:jc w:val="center"/>
              <w:rPr>
                <w:rFonts w:ascii="宋体" w:cs="宋体"/>
                <w:sz w:val="24"/>
              </w:rPr>
            </w:pPr>
          </w:p>
        </w:tc>
        <w:tc>
          <w:tcPr>
            <w:tcW w:w="1588" w:type="dxa"/>
            <w:vAlign w:val="center"/>
          </w:tcPr>
          <w:p>
            <w:pPr>
              <w:jc w:val="center"/>
              <w:rPr>
                <w:rFonts w:ascii="宋体" w:cs="宋体"/>
                <w:sz w:val="24"/>
              </w:rPr>
            </w:pPr>
          </w:p>
        </w:tc>
        <w:tc>
          <w:tcPr>
            <w:tcW w:w="1562" w:type="dxa"/>
            <w:vAlign w:val="center"/>
          </w:tcPr>
          <w:p>
            <w:pPr>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575" w:type="dxa"/>
            <w:vAlign w:val="center"/>
          </w:tcPr>
          <w:p>
            <w:pPr>
              <w:jc w:val="center"/>
              <w:rPr>
                <w:rFonts w:ascii="宋体" w:cs="宋体"/>
                <w:sz w:val="24"/>
              </w:rPr>
            </w:pPr>
          </w:p>
        </w:tc>
        <w:tc>
          <w:tcPr>
            <w:tcW w:w="946" w:type="dxa"/>
            <w:vAlign w:val="center"/>
          </w:tcPr>
          <w:p>
            <w:pPr>
              <w:jc w:val="center"/>
              <w:rPr>
                <w:rFonts w:ascii="宋体" w:cs="宋体"/>
                <w:sz w:val="24"/>
              </w:rPr>
            </w:pPr>
          </w:p>
        </w:tc>
        <w:tc>
          <w:tcPr>
            <w:tcW w:w="947" w:type="dxa"/>
            <w:vAlign w:val="center"/>
          </w:tcPr>
          <w:p>
            <w:pPr>
              <w:jc w:val="center"/>
              <w:rPr>
                <w:rFonts w:ascii="宋体" w:cs="宋体"/>
                <w:sz w:val="24"/>
              </w:rPr>
            </w:pPr>
          </w:p>
        </w:tc>
        <w:tc>
          <w:tcPr>
            <w:tcW w:w="1388" w:type="dxa"/>
            <w:vAlign w:val="center"/>
          </w:tcPr>
          <w:p>
            <w:pPr>
              <w:jc w:val="center"/>
              <w:rPr>
                <w:rFonts w:ascii="宋体" w:cs="宋体"/>
                <w:sz w:val="24"/>
              </w:rPr>
            </w:pPr>
          </w:p>
        </w:tc>
        <w:tc>
          <w:tcPr>
            <w:tcW w:w="1549" w:type="dxa"/>
            <w:vAlign w:val="center"/>
          </w:tcPr>
          <w:p>
            <w:pPr>
              <w:jc w:val="center"/>
              <w:rPr>
                <w:rFonts w:ascii="宋体" w:cs="宋体"/>
                <w:sz w:val="24"/>
              </w:rPr>
            </w:pPr>
          </w:p>
        </w:tc>
        <w:tc>
          <w:tcPr>
            <w:tcW w:w="1588" w:type="dxa"/>
            <w:vAlign w:val="center"/>
          </w:tcPr>
          <w:p>
            <w:pPr>
              <w:jc w:val="center"/>
              <w:rPr>
                <w:rFonts w:ascii="宋体" w:cs="宋体"/>
                <w:sz w:val="24"/>
              </w:rPr>
            </w:pPr>
          </w:p>
        </w:tc>
        <w:tc>
          <w:tcPr>
            <w:tcW w:w="1562" w:type="dxa"/>
            <w:vAlign w:val="center"/>
          </w:tcPr>
          <w:p>
            <w:pPr>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575" w:type="dxa"/>
            <w:vAlign w:val="center"/>
          </w:tcPr>
          <w:p>
            <w:pPr>
              <w:jc w:val="center"/>
              <w:rPr>
                <w:rFonts w:ascii="宋体" w:cs="宋体"/>
                <w:sz w:val="24"/>
              </w:rPr>
            </w:pPr>
          </w:p>
        </w:tc>
        <w:tc>
          <w:tcPr>
            <w:tcW w:w="946" w:type="dxa"/>
            <w:vAlign w:val="center"/>
          </w:tcPr>
          <w:p>
            <w:pPr>
              <w:jc w:val="center"/>
              <w:rPr>
                <w:rFonts w:ascii="宋体" w:cs="宋体"/>
                <w:sz w:val="24"/>
              </w:rPr>
            </w:pPr>
          </w:p>
        </w:tc>
        <w:tc>
          <w:tcPr>
            <w:tcW w:w="947" w:type="dxa"/>
            <w:vAlign w:val="center"/>
          </w:tcPr>
          <w:p>
            <w:pPr>
              <w:jc w:val="center"/>
              <w:rPr>
                <w:rFonts w:ascii="宋体" w:cs="宋体"/>
                <w:sz w:val="24"/>
              </w:rPr>
            </w:pPr>
          </w:p>
        </w:tc>
        <w:tc>
          <w:tcPr>
            <w:tcW w:w="1388" w:type="dxa"/>
            <w:vAlign w:val="center"/>
          </w:tcPr>
          <w:p>
            <w:pPr>
              <w:jc w:val="center"/>
              <w:rPr>
                <w:rFonts w:ascii="宋体" w:cs="宋体"/>
                <w:sz w:val="24"/>
              </w:rPr>
            </w:pPr>
          </w:p>
        </w:tc>
        <w:tc>
          <w:tcPr>
            <w:tcW w:w="1549" w:type="dxa"/>
            <w:vAlign w:val="center"/>
          </w:tcPr>
          <w:p>
            <w:pPr>
              <w:jc w:val="center"/>
              <w:rPr>
                <w:rFonts w:ascii="宋体" w:cs="宋体"/>
                <w:sz w:val="24"/>
              </w:rPr>
            </w:pPr>
          </w:p>
        </w:tc>
        <w:tc>
          <w:tcPr>
            <w:tcW w:w="1588" w:type="dxa"/>
            <w:vAlign w:val="center"/>
          </w:tcPr>
          <w:p>
            <w:pPr>
              <w:jc w:val="center"/>
              <w:rPr>
                <w:rFonts w:ascii="宋体" w:cs="宋体"/>
                <w:sz w:val="24"/>
              </w:rPr>
            </w:pPr>
          </w:p>
        </w:tc>
        <w:tc>
          <w:tcPr>
            <w:tcW w:w="1562" w:type="dxa"/>
            <w:vAlign w:val="center"/>
          </w:tcPr>
          <w:p>
            <w:pPr>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575" w:type="dxa"/>
            <w:vAlign w:val="center"/>
          </w:tcPr>
          <w:p>
            <w:pPr>
              <w:jc w:val="center"/>
              <w:rPr>
                <w:rFonts w:ascii="宋体" w:cs="宋体"/>
                <w:sz w:val="24"/>
              </w:rPr>
            </w:pPr>
          </w:p>
        </w:tc>
        <w:tc>
          <w:tcPr>
            <w:tcW w:w="946" w:type="dxa"/>
            <w:vAlign w:val="center"/>
          </w:tcPr>
          <w:p>
            <w:pPr>
              <w:jc w:val="center"/>
              <w:rPr>
                <w:rFonts w:ascii="宋体" w:cs="宋体"/>
                <w:sz w:val="24"/>
              </w:rPr>
            </w:pPr>
          </w:p>
        </w:tc>
        <w:tc>
          <w:tcPr>
            <w:tcW w:w="947" w:type="dxa"/>
            <w:vAlign w:val="center"/>
          </w:tcPr>
          <w:p>
            <w:pPr>
              <w:jc w:val="center"/>
              <w:rPr>
                <w:rFonts w:ascii="宋体" w:cs="宋体"/>
                <w:sz w:val="24"/>
              </w:rPr>
            </w:pPr>
          </w:p>
        </w:tc>
        <w:tc>
          <w:tcPr>
            <w:tcW w:w="1388" w:type="dxa"/>
            <w:vAlign w:val="center"/>
          </w:tcPr>
          <w:p>
            <w:pPr>
              <w:jc w:val="center"/>
              <w:rPr>
                <w:rFonts w:ascii="宋体" w:cs="宋体"/>
                <w:sz w:val="24"/>
              </w:rPr>
            </w:pPr>
          </w:p>
        </w:tc>
        <w:tc>
          <w:tcPr>
            <w:tcW w:w="1549" w:type="dxa"/>
            <w:vAlign w:val="center"/>
          </w:tcPr>
          <w:p>
            <w:pPr>
              <w:jc w:val="center"/>
              <w:rPr>
                <w:rFonts w:ascii="宋体" w:cs="宋体"/>
                <w:sz w:val="24"/>
              </w:rPr>
            </w:pPr>
          </w:p>
        </w:tc>
        <w:tc>
          <w:tcPr>
            <w:tcW w:w="1588" w:type="dxa"/>
            <w:vAlign w:val="center"/>
          </w:tcPr>
          <w:p>
            <w:pPr>
              <w:jc w:val="center"/>
              <w:rPr>
                <w:rFonts w:ascii="宋体" w:cs="宋体"/>
                <w:sz w:val="24"/>
              </w:rPr>
            </w:pPr>
          </w:p>
        </w:tc>
        <w:tc>
          <w:tcPr>
            <w:tcW w:w="1562" w:type="dxa"/>
            <w:vAlign w:val="center"/>
          </w:tcPr>
          <w:p>
            <w:pPr>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575" w:type="dxa"/>
            <w:vAlign w:val="center"/>
          </w:tcPr>
          <w:p>
            <w:pPr>
              <w:jc w:val="center"/>
              <w:rPr>
                <w:rFonts w:ascii="宋体" w:cs="宋体"/>
                <w:sz w:val="24"/>
              </w:rPr>
            </w:pPr>
          </w:p>
        </w:tc>
        <w:tc>
          <w:tcPr>
            <w:tcW w:w="946" w:type="dxa"/>
            <w:vAlign w:val="center"/>
          </w:tcPr>
          <w:p>
            <w:pPr>
              <w:jc w:val="center"/>
              <w:rPr>
                <w:rFonts w:ascii="宋体" w:cs="宋体"/>
                <w:sz w:val="24"/>
              </w:rPr>
            </w:pPr>
          </w:p>
        </w:tc>
        <w:tc>
          <w:tcPr>
            <w:tcW w:w="947" w:type="dxa"/>
            <w:vAlign w:val="center"/>
          </w:tcPr>
          <w:p>
            <w:pPr>
              <w:jc w:val="center"/>
              <w:rPr>
                <w:rFonts w:ascii="宋体" w:cs="宋体"/>
                <w:sz w:val="24"/>
              </w:rPr>
            </w:pPr>
          </w:p>
        </w:tc>
        <w:tc>
          <w:tcPr>
            <w:tcW w:w="1388" w:type="dxa"/>
            <w:vAlign w:val="center"/>
          </w:tcPr>
          <w:p>
            <w:pPr>
              <w:jc w:val="center"/>
              <w:rPr>
                <w:rFonts w:ascii="宋体" w:cs="宋体"/>
                <w:sz w:val="24"/>
              </w:rPr>
            </w:pPr>
          </w:p>
        </w:tc>
        <w:tc>
          <w:tcPr>
            <w:tcW w:w="1549" w:type="dxa"/>
            <w:vAlign w:val="center"/>
          </w:tcPr>
          <w:p>
            <w:pPr>
              <w:jc w:val="center"/>
              <w:rPr>
                <w:rFonts w:ascii="宋体" w:cs="宋体"/>
                <w:sz w:val="24"/>
              </w:rPr>
            </w:pPr>
          </w:p>
        </w:tc>
        <w:tc>
          <w:tcPr>
            <w:tcW w:w="1588" w:type="dxa"/>
            <w:vAlign w:val="center"/>
          </w:tcPr>
          <w:p>
            <w:pPr>
              <w:jc w:val="center"/>
              <w:rPr>
                <w:rFonts w:ascii="宋体" w:cs="宋体"/>
                <w:sz w:val="24"/>
              </w:rPr>
            </w:pPr>
          </w:p>
        </w:tc>
        <w:tc>
          <w:tcPr>
            <w:tcW w:w="1562" w:type="dxa"/>
            <w:vAlign w:val="center"/>
          </w:tcPr>
          <w:p>
            <w:pPr>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575" w:type="dxa"/>
            <w:vAlign w:val="center"/>
          </w:tcPr>
          <w:p>
            <w:pPr>
              <w:jc w:val="center"/>
              <w:rPr>
                <w:rFonts w:ascii="宋体" w:cs="宋体"/>
                <w:sz w:val="24"/>
              </w:rPr>
            </w:pPr>
          </w:p>
        </w:tc>
        <w:tc>
          <w:tcPr>
            <w:tcW w:w="946" w:type="dxa"/>
            <w:vAlign w:val="center"/>
          </w:tcPr>
          <w:p>
            <w:pPr>
              <w:jc w:val="center"/>
              <w:rPr>
                <w:rFonts w:ascii="宋体" w:cs="宋体"/>
                <w:sz w:val="24"/>
              </w:rPr>
            </w:pPr>
          </w:p>
        </w:tc>
        <w:tc>
          <w:tcPr>
            <w:tcW w:w="947" w:type="dxa"/>
            <w:vAlign w:val="center"/>
          </w:tcPr>
          <w:p>
            <w:pPr>
              <w:jc w:val="center"/>
              <w:rPr>
                <w:rFonts w:ascii="宋体" w:cs="宋体"/>
                <w:sz w:val="24"/>
              </w:rPr>
            </w:pPr>
          </w:p>
        </w:tc>
        <w:tc>
          <w:tcPr>
            <w:tcW w:w="1388" w:type="dxa"/>
            <w:vAlign w:val="center"/>
          </w:tcPr>
          <w:p>
            <w:pPr>
              <w:jc w:val="center"/>
              <w:rPr>
                <w:rFonts w:ascii="宋体" w:cs="宋体"/>
                <w:sz w:val="24"/>
              </w:rPr>
            </w:pPr>
          </w:p>
        </w:tc>
        <w:tc>
          <w:tcPr>
            <w:tcW w:w="1549" w:type="dxa"/>
            <w:vAlign w:val="center"/>
          </w:tcPr>
          <w:p>
            <w:pPr>
              <w:jc w:val="center"/>
              <w:rPr>
                <w:rFonts w:ascii="宋体" w:cs="宋体"/>
                <w:sz w:val="24"/>
              </w:rPr>
            </w:pPr>
          </w:p>
        </w:tc>
        <w:tc>
          <w:tcPr>
            <w:tcW w:w="1588" w:type="dxa"/>
            <w:vAlign w:val="center"/>
          </w:tcPr>
          <w:p>
            <w:pPr>
              <w:jc w:val="center"/>
              <w:rPr>
                <w:rFonts w:ascii="宋体" w:cs="宋体"/>
                <w:sz w:val="24"/>
              </w:rPr>
            </w:pPr>
          </w:p>
        </w:tc>
        <w:tc>
          <w:tcPr>
            <w:tcW w:w="1562" w:type="dxa"/>
            <w:vAlign w:val="center"/>
          </w:tcPr>
          <w:p>
            <w:pPr>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575" w:type="dxa"/>
            <w:vAlign w:val="center"/>
          </w:tcPr>
          <w:p>
            <w:pPr>
              <w:jc w:val="center"/>
              <w:rPr>
                <w:rFonts w:ascii="宋体" w:cs="宋体"/>
                <w:sz w:val="24"/>
              </w:rPr>
            </w:pPr>
          </w:p>
        </w:tc>
        <w:tc>
          <w:tcPr>
            <w:tcW w:w="946" w:type="dxa"/>
            <w:vAlign w:val="center"/>
          </w:tcPr>
          <w:p>
            <w:pPr>
              <w:jc w:val="center"/>
              <w:rPr>
                <w:rFonts w:ascii="宋体" w:cs="宋体"/>
                <w:sz w:val="24"/>
              </w:rPr>
            </w:pPr>
          </w:p>
        </w:tc>
        <w:tc>
          <w:tcPr>
            <w:tcW w:w="947" w:type="dxa"/>
            <w:vAlign w:val="center"/>
          </w:tcPr>
          <w:p>
            <w:pPr>
              <w:jc w:val="center"/>
              <w:rPr>
                <w:rFonts w:ascii="宋体" w:cs="宋体"/>
                <w:sz w:val="24"/>
              </w:rPr>
            </w:pPr>
          </w:p>
        </w:tc>
        <w:tc>
          <w:tcPr>
            <w:tcW w:w="1388" w:type="dxa"/>
            <w:vAlign w:val="center"/>
          </w:tcPr>
          <w:p>
            <w:pPr>
              <w:jc w:val="center"/>
              <w:rPr>
                <w:rFonts w:ascii="宋体" w:cs="宋体"/>
                <w:sz w:val="24"/>
              </w:rPr>
            </w:pPr>
          </w:p>
        </w:tc>
        <w:tc>
          <w:tcPr>
            <w:tcW w:w="1549" w:type="dxa"/>
            <w:vAlign w:val="center"/>
          </w:tcPr>
          <w:p>
            <w:pPr>
              <w:jc w:val="center"/>
              <w:rPr>
                <w:rFonts w:ascii="宋体" w:cs="宋体"/>
                <w:sz w:val="24"/>
              </w:rPr>
            </w:pPr>
          </w:p>
        </w:tc>
        <w:tc>
          <w:tcPr>
            <w:tcW w:w="1588" w:type="dxa"/>
            <w:vAlign w:val="center"/>
          </w:tcPr>
          <w:p>
            <w:pPr>
              <w:jc w:val="center"/>
              <w:rPr>
                <w:rFonts w:ascii="宋体" w:cs="宋体"/>
                <w:sz w:val="24"/>
              </w:rPr>
            </w:pPr>
          </w:p>
        </w:tc>
        <w:tc>
          <w:tcPr>
            <w:tcW w:w="1562" w:type="dxa"/>
            <w:vAlign w:val="center"/>
          </w:tcPr>
          <w:p>
            <w:pPr>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575" w:type="dxa"/>
            <w:vAlign w:val="center"/>
          </w:tcPr>
          <w:p>
            <w:pPr>
              <w:jc w:val="center"/>
              <w:rPr>
                <w:rFonts w:ascii="宋体" w:cs="宋体"/>
                <w:sz w:val="24"/>
              </w:rPr>
            </w:pPr>
          </w:p>
        </w:tc>
        <w:tc>
          <w:tcPr>
            <w:tcW w:w="946" w:type="dxa"/>
            <w:vAlign w:val="center"/>
          </w:tcPr>
          <w:p>
            <w:pPr>
              <w:jc w:val="center"/>
              <w:rPr>
                <w:rFonts w:ascii="宋体" w:cs="宋体"/>
                <w:sz w:val="24"/>
              </w:rPr>
            </w:pPr>
          </w:p>
        </w:tc>
        <w:tc>
          <w:tcPr>
            <w:tcW w:w="947" w:type="dxa"/>
            <w:vAlign w:val="center"/>
          </w:tcPr>
          <w:p>
            <w:pPr>
              <w:jc w:val="center"/>
              <w:rPr>
                <w:rFonts w:ascii="宋体" w:cs="宋体"/>
                <w:sz w:val="24"/>
              </w:rPr>
            </w:pPr>
          </w:p>
        </w:tc>
        <w:tc>
          <w:tcPr>
            <w:tcW w:w="1388" w:type="dxa"/>
            <w:vAlign w:val="center"/>
          </w:tcPr>
          <w:p>
            <w:pPr>
              <w:jc w:val="center"/>
              <w:rPr>
                <w:rFonts w:ascii="宋体" w:cs="宋体"/>
                <w:sz w:val="24"/>
              </w:rPr>
            </w:pPr>
          </w:p>
        </w:tc>
        <w:tc>
          <w:tcPr>
            <w:tcW w:w="1549" w:type="dxa"/>
            <w:vAlign w:val="center"/>
          </w:tcPr>
          <w:p>
            <w:pPr>
              <w:jc w:val="center"/>
              <w:rPr>
                <w:rFonts w:ascii="宋体" w:cs="宋体"/>
                <w:sz w:val="24"/>
              </w:rPr>
            </w:pPr>
          </w:p>
        </w:tc>
        <w:tc>
          <w:tcPr>
            <w:tcW w:w="1588" w:type="dxa"/>
            <w:vAlign w:val="center"/>
          </w:tcPr>
          <w:p>
            <w:pPr>
              <w:jc w:val="center"/>
              <w:rPr>
                <w:rFonts w:ascii="宋体" w:cs="宋体"/>
                <w:sz w:val="24"/>
              </w:rPr>
            </w:pPr>
          </w:p>
        </w:tc>
        <w:tc>
          <w:tcPr>
            <w:tcW w:w="1562" w:type="dxa"/>
            <w:vAlign w:val="center"/>
          </w:tcPr>
          <w:p>
            <w:pPr>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575" w:type="dxa"/>
            <w:vAlign w:val="center"/>
          </w:tcPr>
          <w:p>
            <w:pPr>
              <w:jc w:val="center"/>
              <w:rPr>
                <w:rFonts w:ascii="宋体" w:cs="宋体"/>
                <w:sz w:val="24"/>
              </w:rPr>
            </w:pPr>
          </w:p>
        </w:tc>
        <w:tc>
          <w:tcPr>
            <w:tcW w:w="946" w:type="dxa"/>
            <w:vAlign w:val="center"/>
          </w:tcPr>
          <w:p>
            <w:pPr>
              <w:jc w:val="center"/>
              <w:rPr>
                <w:rFonts w:ascii="宋体" w:cs="宋体"/>
                <w:sz w:val="24"/>
              </w:rPr>
            </w:pPr>
          </w:p>
        </w:tc>
        <w:tc>
          <w:tcPr>
            <w:tcW w:w="947" w:type="dxa"/>
            <w:vAlign w:val="center"/>
          </w:tcPr>
          <w:p>
            <w:pPr>
              <w:jc w:val="center"/>
              <w:rPr>
                <w:rFonts w:ascii="宋体" w:cs="宋体"/>
                <w:sz w:val="24"/>
              </w:rPr>
            </w:pPr>
          </w:p>
        </w:tc>
        <w:tc>
          <w:tcPr>
            <w:tcW w:w="1388" w:type="dxa"/>
            <w:vAlign w:val="center"/>
          </w:tcPr>
          <w:p>
            <w:pPr>
              <w:jc w:val="center"/>
              <w:rPr>
                <w:rFonts w:ascii="宋体" w:cs="宋体"/>
                <w:sz w:val="24"/>
              </w:rPr>
            </w:pPr>
          </w:p>
        </w:tc>
        <w:tc>
          <w:tcPr>
            <w:tcW w:w="1549" w:type="dxa"/>
            <w:vAlign w:val="center"/>
          </w:tcPr>
          <w:p>
            <w:pPr>
              <w:jc w:val="center"/>
              <w:rPr>
                <w:rFonts w:ascii="宋体" w:cs="宋体"/>
                <w:sz w:val="24"/>
              </w:rPr>
            </w:pPr>
          </w:p>
        </w:tc>
        <w:tc>
          <w:tcPr>
            <w:tcW w:w="1588" w:type="dxa"/>
            <w:vAlign w:val="center"/>
          </w:tcPr>
          <w:p>
            <w:pPr>
              <w:jc w:val="center"/>
              <w:rPr>
                <w:rFonts w:ascii="宋体" w:cs="宋体"/>
                <w:sz w:val="24"/>
              </w:rPr>
            </w:pPr>
          </w:p>
        </w:tc>
        <w:tc>
          <w:tcPr>
            <w:tcW w:w="1562" w:type="dxa"/>
            <w:vAlign w:val="center"/>
          </w:tcPr>
          <w:p>
            <w:pPr>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575" w:type="dxa"/>
            <w:vAlign w:val="center"/>
          </w:tcPr>
          <w:p>
            <w:pPr>
              <w:jc w:val="center"/>
              <w:rPr>
                <w:rFonts w:ascii="宋体" w:cs="宋体"/>
                <w:sz w:val="24"/>
              </w:rPr>
            </w:pPr>
          </w:p>
        </w:tc>
        <w:tc>
          <w:tcPr>
            <w:tcW w:w="946" w:type="dxa"/>
            <w:vAlign w:val="center"/>
          </w:tcPr>
          <w:p>
            <w:pPr>
              <w:jc w:val="center"/>
              <w:rPr>
                <w:rFonts w:ascii="宋体" w:cs="宋体"/>
                <w:sz w:val="24"/>
              </w:rPr>
            </w:pPr>
          </w:p>
        </w:tc>
        <w:tc>
          <w:tcPr>
            <w:tcW w:w="947" w:type="dxa"/>
            <w:vAlign w:val="center"/>
          </w:tcPr>
          <w:p>
            <w:pPr>
              <w:jc w:val="center"/>
              <w:rPr>
                <w:rFonts w:ascii="宋体" w:cs="宋体"/>
                <w:sz w:val="24"/>
              </w:rPr>
            </w:pPr>
          </w:p>
        </w:tc>
        <w:tc>
          <w:tcPr>
            <w:tcW w:w="1388" w:type="dxa"/>
            <w:vAlign w:val="center"/>
          </w:tcPr>
          <w:p>
            <w:pPr>
              <w:jc w:val="center"/>
              <w:rPr>
                <w:rFonts w:ascii="宋体" w:cs="宋体"/>
                <w:sz w:val="24"/>
              </w:rPr>
            </w:pPr>
          </w:p>
        </w:tc>
        <w:tc>
          <w:tcPr>
            <w:tcW w:w="1549" w:type="dxa"/>
            <w:vAlign w:val="center"/>
          </w:tcPr>
          <w:p>
            <w:pPr>
              <w:jc w:val="center"/>
              <w:rPr>
                <w:rFonts w:ascii="宋体" w:cs="宋体"/>
                <w:sz w:val="24"/>
              </w:rPr>
            </w:pPr>
          </w:p>
        </w:tc>
        <w:tc>
          <w:tcPr>
            <w:tcW w:w="1588" w:type="dxa"/>
            <w:vAlign w:val="center"/>
          </w:tcPr>
          <w:p>
            <w:pPr>
              <w:jc w:val="center"/>
              <w:rPr>
                <w:rFonts w:ascii="宋体" w:cs="宋体"/>
                <w:sz w:val="24"/>
              </w:rPr>
            </w:pPr>
          </w:p>
        </w:tc>
        <w:tc>
          <w:tcPr>
            <w:tcW w:w="1562" w:type="dxa"/>
            <w:vAlign w:val="center"/>
          </w:tcPr>
          <w:p>
            <w:pPr>
              <w:jc w:val="center"/>
              <w:rPr>
                <w:rFonts w:ascii="宋体" w:cs="宋体"/>
                <w:sz w:val="24"/>
              </w:rPr>
            </w:pPr>
          </w:p>
        </w:tc>
      </w:tr>
    </w:tbl>
    <w:p>
      <w:pPr>
        <w:rPr>
          <w:rFonts w:ascii="宋体" w:cs="宋体"/>
          <w:sz w:val="24"/>
        </w:rPr>
      </w:pPr>
    </w:p>
    <w:p>
      <w:pPr>
        <w:ind w:firstLine="240" w:firstLineChars="100"/>
        <w:rPr>
          <w:rFonts w:ascii="宋体" w:cs="宋体"/>
          <w:sz w:val="24"/>
        </w:rPr>
      </w:pPr>
      <w:r>
        <w:rPr>
          <w:rFonts w:hint="eastAsia" w:ascii="宋体" w:cs="宋体"/>
          <w:sz w:val="24"/>
        </w:rPr>
        <w:t>注：“持证名称”栏可填写注册证名称、质量验评员证、见证取样员证</w:t>
      </w:r>
    </w:p>
    <w:p>
      <w:pPr>
        <w:spacing w:line="380" w:lineRule="exact"/>
        <w:outlineLvl w:val="1"/>
        <w:rPr>
          <w:rFonts w:ascii="宋体" w:cs="宋体"/>
          <w:sz w:val="32"/>
          <w:szCs w:val="32"/>
        </w:rPr>
      </w:pPr>
    </w:p>
    <w:p>
      <w:pPr>
        <w:spacing w:line="380" w:lineRule="exact"/>
        <w:outlineLvl w:val="1"/>
        <w:rPr>
          <w:rFonts w:ascii="宋体" w:cs="宋体"/>
          <w:sz w:val="32"/>
          <w:szCs w:val="32"/>
        </w:rPr>
      </w:pPr>
    </w:p>
    <w:p>
      <w:pPr>
        <w:pStyle w:val="2"/>
      </w:pPr>
    </w:p>
    <w:p>
      <w:pPr>
        <w:spacing w:line="380" w:lineRule="exact"/>
        <w:jc w:val="center"/>
        <w:outlineLvl w:val="1"/>
        <w:rPr>
          <w:rFonts w:hint="eastAsia" w:ascii="宋体" w:cs="宋体"/>
          <w:b/>
          <w:bCs/>
          <w:sz w:val="36"/>
        </w:rPr>
      </w:pPr>
      <w:bookmarkStart w:id="71" w:name="_Toc492972263"/>
      <w:bookmarkStart w:id="72" w:name="_Toc492972198"/>
    </w:p>
    <w:p>
      <w:pPr>
        <w:spacing w:line="380" w:lineRule="exact"/>
        <w:jc w:val="center"/>
        <w:outlineLvl w:val="1"/>
        <w:rPr>
          <w:rFonts w:hint="eastAsia" w:ascii="宋体" w:cs="宋体"/>
          <w:b/>
          <w:bCs/>
          <w:sz w:val="36"/>
        </w:rPr>
      </w:pPr>
    </w:p>
    <w:p>
      <w:pPr>
        <w:spacing w:line="380" w:lineRule="exact"/>
        <w:jc w:val="center"/>
        <w:outlineLvl w:val="1"/>
        <w:rPr>
          <w:rFonts w:ascii="宋体" w:cs="宋体"/>
          <w:b/>
          <w:bCs/>
          <w:sz w:val="36"/>
        </w:rPr>
      </w:pPr>
      <w:r>
        <w:rPr>
          <w:rFonts w:hint="eastAsia" w:ascii="宋体" w:cs="宋体"/>
          <w:b/>
          <w:bCs/>
          <w:sz w:val="36"/>
        </w:rPr>
        <w:t>拟派总监理工程师资格审查表</w:t>
      </w:r>
      <w:bookmarkEnd w:id="71"/>
      <w:bookmarkEnd w:id="72"/>
    </w:p>
    <w:p>
      <w:pPr>
        <w:rPr>
          <w:rFonts w:ascii="宋体" w:cs="宋体"/>
          <w:sz w:val="24"/>
        </w:rPr>
      </w:pPr>
    </w:p>
    <w:tbl>
      <w:tblPr>
        <w:tblStyle w:val="20"/>
        <w:tblW w:w="10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0"/>
        <w:gridCol w:w="3150"/>
        <w:gridCol w:w="2484"/>
        <w:gridCol w:w="2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2320" w:type="dxa"/>
            <w:vAlign w:val="center"/>
          </w:tcPr>
          <w:p>
            <w:pPr>
              <w:jc w:val="center"/>
              <w:rPr>
                <w:rFonts w:ascii="宋体" w:cs="宋体"/>
                <w:sz w:val="28"/>
                <w:szCs w:val="28"/>
              </w:rPr>
            </w:pPr>
            <w:r>
              <w:rPr>
                <w:rFonts w:hint="eastAsia" w:ascii="宋体" w:cs="宋体"/>
                <w:sz w:val="28"/>
                <w:szCs w:val="28"/>
              </w:rPr>
              <w:t>姓   名</w:t>
            </w:r>
          </w:p>
        </w:tc>
        <w:tc>
          <w:tcPr>
            <w:tcW w:w="3150" w:type="dxa"/>
            <w:vAlign w:val="center"/>
          </w:tcPr>
          <w:p>
            <w:pPr>
              <w:jc w:val="center"/>
              <w:rPr>
                <w:rFonts w:ascii="宋体" w:cs="宋体"/>
                <w:sz w:val="28"/>
                <w:szCs w:val="28"/>
              </w:rPr>
            </w:pPr>
          </w:p>
        </w:tc>
        <w:tc>
          <w:tcPr>
            <w:tcW w:w="2484" w:type="dxa"/>
            <w:vMerge w:val="restart"/>
            <w:vAlign w:val="center"/>
          </w:tcPr>
          <w:p>
            <w:pPr>
              <w:spacing w:line="360" w:lineRule="exact"/>
              <w:jc w:val="center"/>
              <w:rPr>
                <w:rFonts w:ascii="宋体" w:cs="宋体"/>
                <w:sz w:val="28"/>
                <w:szCs w:val="28"/>
              </w:rPr>
            </w:pPr>
            <w:r>
              <w:rPr>
                <w:rFonts w:hint="eastAsia" w:ascii="宋体" w:cs="宋体"/>
                <w:sz w:val="28"/>
                <w:szCs w:val="28"/>
              </w:rPr>
              <w:t>近五年主要工作</w:t>
            </w:r>
          </w:p>
          <w:p>
            <w:pPr>
              <w:spacing w:line="360" w:lineRule="exact"/>
              <w:jc w:val="center"/>
              <w:rPr>
                <w:rFonts w:ascii="宋体" w:cs="宋体"/>
                <w:sz w:val="28"/>
                <w:szCs w:val="28"/>
              </w:rPr>
            </w:pPr>
            <w:r>
              <w:rPr>
                <w:rFonts w:hint="eastAsia" w:ascii="宋体" w:cs="宋体"/>
                <w:sz w:val="28"/>
                <w:szCs w:val="28"/>
              </w:rPr>
              <w:t>业绩及担任的</w:t>
            </w:r>
          </w:p>
          <w:p>
            <w:pPr>
              <w:spacing w:line="360" w:lineRule="exact"/>
              <w:jc w:val="center"/>
              <w:rPr>
                <w:rFonts w:ascii="宋体" w:cs="宋体"/>
                <w:sz w:val="28"/>
                <w:szCs w:val="28"/>
              </w:rPr>
            </w:pPr>
            <w:r>
              <w:rPr>
                <w:rFonts w:hint="eastAsia" w:ascii="宋体" w:cs="宋体"/>
                <w:sz w:val="28"/>
                <w:szCs w:val="28"/>
              </w:rPr>
              <w:t>主要工作（本处填写工程名称，证明材料作为附件）</w:t>
            </w:r>
          </w:p>
        </w:tc>
        <w:tc>
          <w:tcPr>
            <w:tcW w:w="2111" w:type="dxa"/>
            <w:vMerge w:val="restart"/>
            <w:vAlign w:val="center"/>
          </w:tcPr>
          <w:p>
            <w:pPr>
              <w:jc w:val="center"/>
              <w:rPr>
                <w:rFonts w:ascii="宋体" w:cs="宋体"/>
                <w:sz w:val="28"/>
                <w:szCs w:val="28"/>
              </w:rPr>
            </w:pPr>
            <w:r>
              <w:rPr>
                <w:rFonts w:hint="eastAsia" w:ascii="宋体" w:cs="宋体"/>
                <w:sz w:val="28"/>
                <w:szCs w:val="28"/>
              </w:rPr>
              <w:t>（一寸照片）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2320" w:type="dxa"/>
            <w:vAlign w:val="center"/>
          </w:tcPr>
          <w:p>
            <w:pPr>
              <w:jc w:val="center"/>
              <w:rPr>
                <w:rFonts w:ascii="宋体" w:cs="宋体"/>
                <w:sz w:val="28"/>
                <w:szCs w:val="28"/>
              </w:rPr>
            </w:pPr>
            <w:r>
              <w:rPr>
                <w:rFonts w:hint="eastAsia" w:ascii="宋体" w:cs="宋体"/>
                <w:sz w:val="28"/>
                <w:szCs w:val="28"/>
              </w:rPr>
              <w:t>性   别</w:t>
            </w:r>
          </w:p>
        </w:tc>
        <w:tc>
          <w:tcPr>
            <w:tcW w:w="3150" w:type="dxa"/>
            <w:vAlign w:val="center"/>
          </w:tcPr>
          <w:p>
            <w:pPr>
              <w:jc w:val="center"/>
              <w:rPr>
                <w:rFonts w:ascii="宋体" w:cs="宋体"/>
                <w:sz w:val="28"/>
                <w:szCs w:val="28"/>
              </w:rPr>
            </w:pPr>
          </w:p>
        </w:tc>
        <w:tc>
          <w:tcPr>
            <w:tcW w:w="2484" w:type="dxa"/>
            <w:vMerge w:val="continue"/>
            <w:vAlign w:val="center"/>
          </w:tcPr>
          <w:p/>
        </w:tc>
        <w:tc>
          <w:tcPr>
            <w:tcW w:w="2111"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2320" w:type="dxa"/>
            <w:vAlign w:val="center"/>
          </w:tcPr>
          <w:p>
            <w:pPr>
              <w:jc w:val="center"/>
              <w:rPr>
                <w:rFonts w:ascii="宋体" w:cs="宋体"/>
                <w:sz w:val="28"/>
                <w:szCs w:val="28"/>
              </w:rPr>
            </w:pPr>
            <w:r>
              <w:rPr>
                <w:rFonts w:hint="eastAsia" w:ascii="宋体" w:cs="宋体"/>
                <w:sz w:val="28"/>
                <w:szCs w:val="28"/>
              </w:rPr>
              <w:t>年   龄</w:t>
            </w:r>
          </w:p>
        </w:tc>
        <w:tc>
          <w:tcPr>
            <w:tcW w:w="3150" w:type="dxa"/>
            <w:vAlign w:val="center"/>
          </w:tcPr>
          <w:p>
            <w:pPr>
              <w:jc w:val="center"/>
              <w:rPr>
                <w:rFonts w:ascii="宋体" w:cs="宋体"/>
                <w:sz w:val="28"/>
                <w:szCs w:val="28"/>
              </w:rPr>
            </w:pPr>
          </w:p>
        </w:tc>
        <w:tc>
          <w:tcPr>
            <w:tcW w:w="2484" w:type="dxa"/>
            <w:vMerge w:val="continue"/>
            <w:vAlign w:val="center"/>
          </w:tcPr>
          <w:p/>
        </w:tc>
        <w:tc>
          <w:tcPr>
            <w:tcW w:w="2111"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2320" w:type="dxa"/>
            <w:vAlign w:val="center"/>
          </w:tcPr>
          <w:p>
            <w:pPr>
              <w:jc w:val="center"/>
              <w:rPr>
                <w:rFonts w:ascii="宋体" w:cs="宋体"/>
                <w:sz w:val="28"/>
                <w:szCs w:val="28"/>
              </w:rPr>
            </w:pPr>
            <w:r>
              <w:rPr>
                <w:rFonts w:hint="eastAsia" w:ascii="宋体" w:cs="宋体"/>
                <w:sz w:val="28"/>
                <w:szCs w:val="28"/>
              </w:rPr>
              <w:t>职   称</w:t>
            </w:r>
          </w:p>
        </w:tc>
        <w:tc>
          <w:tcPr>
            <w:tcW w:w="3150" w:type="dxa"/>
            <w:vAlign w:val="center"/>
          </w:tcPr>
          <w:p>
            <w:pPr>
              <w:jc w:val="center"/>
              <w:rPr>
                <w:rFonts w:ascii="宋体" w:cs="宋体"/>
                <w:sz w:val="28"/>
                <w:szCs w:val="28"/>
              </w:rPr>
            </w:pPr>
          </w:p>
        </w:tc>
        <w:tc>
          <w:tcPr>
            <w:tcW w:w="4595" w:type="dxa"/>
            <w:gridSpan w:val="2"/>
            <w:vMerge w:val="restart"/>
            <w:vAlign w:val="center"/>
          </w:tcPr>
          <w:p>
            <w:pPr>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2320" w:type="dxa"/>
            <w:vAlign w:val="center"/>
          </w:tcPr>
          <w:p>
            <w:pPr>
              <w:jc w:val="center"/>
              <w:rPr>
                <w:rFonts w:ascii="宋体" w:cs="宋体"/>
                <w:sz w:val="28"/>
                <w:szCs w:val="28"/>
              </w:rPr>
            </w:pPr>
            <w:r>
              <w:rPr>
                <w:rFonts w:hint="eastAsia" w:ascii="宋体" w:cs="宋体"/>
                <w:sz w:val="28"/>
                <w:szCs w:val="28"/>
              </w:rPr>
              <w:t>毕业学校</w:t>
            </w:r>
          </w:p>
        </w:tc>
        <w:tc>
          <w:tcPr>
            <w:tcW w:w="3150" w:type="dxa"/>
            <w:vAlign w:val="center"/>
          </w:tcPr>
          <w:p>
            <w:pPr>
              <w:jc w:val="center"/>
              <w:rPr>
                <w:rFonts w:ascii="宋体" w:cs="宋体"/>
                <w:sz w:val="28"/>
                <w:szCs w:val="28"/>
              </w:rPr>
            </w:pPr>
          </w:p>
        </w:tc>
        <w:tc>
          <w:tcPr>
            <w:tcW w:w="4595" w:type="dxa"/>
            <w:gridSpan w:val="2"/>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2320" w:type="dxa"/>
            <w:vAlign w:val="center"/>
          </w:tcPr>
          <w:p>
            <w:pPr>
              <w:jc w:val="center"/>
              <w:rPr>
                <w:rFonts w:ascii="宋体" w:cs="宋体"/>
                <w:sz w:val="28"/>
                <w:szCs w:val="28"/>
              </w:rPr>
            </w:pPr>
            <w:r>
              <w:rPr>
                <w:rFonts w:hint="eastAsia" w:ascii="宋体" w:cs="宋体"/>
                <w:sz w:val="28"/>
                <w:szCs w:val="28"/>
              </w:rPr>
              <w:t>毕业时间</w:t>
            </w:r>
          </w:p>
        </w:tc>
        <w:tc>
          <w:tcPr>
            <w:tcW w:w="3150" w:type="dxa"/>
            <w:vAlign w:val="center"/>
          </w:tcPr>
          <w:p>
            <w:pPr>
              <w:jc w:val="center"/>
              <w:rPr>
                <w:rFonts w:ascii="宋体" w:cs="宋体"/>
                <w:sz w:val="28"/>
                <w:szCs w:val="28"/>
              </w:rPr>
            </w:pPr>
          </w:p>
        </w:tc>
        <w:tc>
          <w:tcPr>
            <w:tcW w:w="4595" w:type="dxa"/>
            <w:gridSpan w:val="2"/>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2320" w:type="dxa"/>
            <w:vAlign w:val="center"/>
          </w:tcPr>
          <w:p>
            <w:pPr>
              <w:jc w:val="center"/>
              <w:rPr>
                <w:rFonts w:ascii="宋体" w:cs="宋体"/>
                <w:sz w:val="28"/>
                <w:szCs w:val="28"/>
              </w:rPr>
            </w:pPr>
            <w:r>
              <w:rPr>
                <w:rFonts w:hint="eastAsia" w:ascii="宋体" w:cs="宋体"/>
                <w:sz w:val="28"/>
                <w:szCs w:val="28"/>
              </w:rPr>
              <w:t>所学专业</w:t>
            </w:r>
          </w:p>
        </w:tc>
        <w:tc>
          <w:tcPr>
            <w:tcW w:w="3150" w:type="dxa"/>
            <w:vAlign w:val="center"/>
          </w:tcPr>
          <w:p>
            <w:pPr>
              <w:jc w:val="center"/>
              <w:rPr>
                <w:rFonts w:ascii="宋体" w:cs="宋体"/>
                <w:sz w:val="28"/>
                <w:szCs w:val="28"/>
              </w:rPr>
            </w:pPr>
          </w:p>
        </w:tc>
        <w:tc>
          <w:tcPr>
            <w:tcW w:w="4595" w:type="dxa"/>
            <w:gridSpan w:val="2"/>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2320" w:type="dxa"/>
            <w:vAlign w:val="center"/>
          </w:tcPr>
          <w:p>
            <w:pPr>
              <w:jc w:val="center"/>
              <w:rPr>
                <w:rFonts w:ascii="宋体" w:cs="宋体"/>
                <w:sz w:val="28"/>
                <w:szCs w:val="28"/>
              </w:rPr>
            </w:pPr>
            <w:r>
              <w:rPr>
                <w:rFonts w:hint="eastAsia" w:ascii="宋体" w:cs="宋体"/>
                <w:sz w:val="28"/>
                <w:szCs w:val="28"/>
              </w:rPr>
              <w:t>注册监理工程师</w:t>
            </w:r>
          </w:p>
          <w:p>
            <w:pPr>
              <w:jc w:val="center"/>
              <w:rPr>
                <w:rFonts w:ascii="宋体" w:cs="宋体"/>
                <w:sz w:val="28"/>
                <w:szCs w:val="28"/>
              </w:rPr>
            </w:pPr>
            <w:r>
              <w:rPr>
                <w:rFonts w:hint="eastAsia" w:ascii="宋体" w:cs="宋体"/>
                <w:sz w:val="28"/>
                <w:szCs w:val="28"/>
              </w:rPr>
              <w:t>证书编号</w:t>
            </w:r>
          </w:p>
        </w:tc>
        <w:tc>
          <w:tcPr>
            <w:tcW w:w="3150" w:type="dxa"/>
            <w:vAlign w:val="center"/>
          </w:tcPr>
          <w:p>
            <w:pPr>
              <w:jc w:val="center"/>
              <w:rPr>
                <w:rFonts w:ascii="宋体" w:cs="宋体"/>
                <w:sz w:val="28"/>
                <w:szCs w:val="28"/>
              </w:rPr>
            </w:pPr>
          </w:p>
        </w:tc>
        <w:tc>
          <w:tcPr>
            <w:tcW w:w="4595" w:type="dxa"/>
            <w:gridSpan w:val="2"/>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2320" w:type="dxa"/>
            <w:vAlign w:val="center"/>
          </w:tcPr>
          <w:p>
            <w:pPr>
              <w:jc w:val="center"/>
              <w:rPr>
                <w:rFonts w:ascii="宋体" w:cs="宋体"/>
                <w:sz w:val="28"/>
                <w:szCs w:val="28"/>
              </w:rPr>
            </w:pPr>
            <w:r>
              <w:rPr>
                <w:rFonts w:hint="eastAsia" w:ascii="宋体" w:cs="宋体"/>
                <w:sz w:val="28"/>
                <w:szCs w:val="28"/>
              </w:rPr>
              <w:t>总监理工程师</w:t>
            </w:r>
          </w:p>
          <w:p>
            <w:pPr>
              <w:jc w:val="center"/>
              <w:rPr>
                <w:rFonts w:ascii="宋体" w:cs="宋体"/>
                <w:sz w:val="28"/>
                <w:szCs w:val="28"/>
              </w:rPr>
            </w:pPr>
            <w:r>
              <w:rPr>
                <w:rFonts w:hint="eastAsia" w:ascii="宋体" w:cs="宋体"/>
                <w:sz w:val="28"/>
                <w:szCs w:val="28"/>
              </w:rPr>
              <w:t>级  别</w:t>
            </w:r>
          </w:p>
        </w:tc>
        <w:tc>
          <w:tcPr>
            <w:tcW w:w="3150" w:type="dxa"/>
            <w:vAlign w:val="center"/>
          </w:tcPr>
          <w:p>
            <w:pPr>
              <w:jc w:val="center"/>
              <w:rPr>
                <w:rFonts w:ascii="宋体" w:cs="宋体"/>
                <w:sz w:val="28"/>
                <w:szCs w:val="28"/>
              </w:rPr>
            </w:pPr>
          </w:p>
        </w:tc>
        <w:tc>
          <w:tcPr>
            <w:tcW w:w="4595" w:type="dxa"/>
            <w:gridSpan w:val="2"/>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2320" w:type="dxa"/>
            <w:vAlign w:val="center"/>
          </w:tcPr>
          <w:p>
            <w:pPr>
              <w:jc w:val="center"/>
              <w:rPr>
                <w:rFonts w:ascii="宋体" w:cs="宋体"/>
                <w:sz w:val="28"/>
                <w:szCs w:val="28"/>
              </w:rPr>
            </w:pPr>
            <w:r>
              <w:rPr>
                <w:rFonts w:hint="eastAsia" w:ascii="宋体" w:cs="宋体"/>
                <w:sz w:val="28"/>
                <w:szCs w:val="28"/>
              </w:rPr>
              <w:t>联系电话</w:t>
            </w:r>
          </w:p>
        </w:tc>
        <w:tc>
          <w:tcPr>
            <w:tcW w:w="3150" w:type="dxa"/>
            <w:vAlign w:val="center"/>
          </w:tcPr>
          <w:p>
            <w:pPr>
              <w:jc w:val="center"/>
              <w:rPr>
                <w:rFonts w:ascii="宋体" w:cs="宋体"/>
                <w:sz w:val="28"/>
                <w:szCs w:val="28"/>
              </w:rPr>
            </w:pPr>
          </w:p>
        </w:tc>
        <w:tc>
          <w:tcPr>
            <w:tcW w:w="4595" w:type="dxa"/>
            <w:gridSpan w:val="2"/>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9" w:hRule="atLeast"/>
          <w:jc w:val="center"/>
        </w:trPr>
        <w:tc>
          <w:tcPr>
            <w:tcW w:w="2320" w:type="dxa"/>
            <w:vAlign w:val="center"/>
          </w:tcPr>
          <w:p>
            <w:pPr>
              <w:jc w:val="center"/>
              <w:rPr>
                <w:rFonts w:ascii="宋体" w:cs="宋体"/>
                <w:sz w:val="28"/>
                <w:szCs w:val="28"/>
              </w:rPr>
            </w:pPr>
            <w:r>
              <w:rPr>
                <w:rFonts w:hint="eastAsia" w:ascii="宋体" w:cs="宋体"/>
                <w:sz w:val="28"/>
                <w:szCs w:val="28"/>
              </w:rPr>
              <w:t>曾担任总监理工程师的工程项目</w:t>
            </w:r>
          </w:p>
        </w:tc>
        <w:tc>
          <w:tcPr>
            <w:tcW w:w="7745" w:type="dxa"/>
            <w:gridSpan w:val="3"/>
            <w:vAlign w:val="center"/>
          </w:tcPr>
          <w:p>
            <w:pPr>
              <w:jc w:val="center"/>
              <w:rPr>
                <w:rFonts w:ascii="宋体" w:cs="宋体"/>
                <w:sz w:val="28"/>
                <w:szCs w:val="28"/>
              </w:rPr>
            </w:pPr>
          </w:p>
        </w:tc>
      </w:tr>
    </w:tbl>
    <w:p>
      <w:pPr>
        <w:rPr>
          <w:rFonts w:ascii="宋体" w:cs="宋体"/>
          <w:sz w:val="24"/>
        </w:rPr>
      </w:pPr>
    </w:p>
    <w:p>
      <w:pPr>
        <w:outlineLvl w:val="1"/>
        <w:rPr>
          <w:rFonts w:hint="eastAsia" w:ascii="宋体" w:cs="宋体"/>
          <w:b/>
          <w:bCs/>
          <w:sz w:val="24"/>
        </w:rPr>
      </w:pPr>
      <w:bookmarkStart w:id="73" w:name="_Toc492972199"/>
      <w:bookmarkStart w:id="74" w:name="_Toc492972264"/>
      <w:r>
        <w:rPr>
          <w:rFonts w:hint="eastAsia" w:ascii="宋体" w:cs="宋体"/>
          <w:b/>
          <w:bCs/>
          <w:sz w:val="24"/>
        </w:rPr>
        <w:t>注：如有业绩，证明材料请上传附件</w:t>
      </w:r>
    </w:p>
    <w:p>
      <w:pPr>
        <w:outlineLvl w:val="1"/>
        <w:rPr>
          <w:rFonts w:hint="eastAsia" w:ascii="宋体" w:cs="宋体"/>
          <w:b/>
          <w:bCs/>
          <w:sz w:val="24"/>
        </w:rPr>
      </w:pPr>
    </w:p>
    <w:p>
      <w:pPr>
        <w:ind w:firstLine="3072" w:firstLineChars="850"/>
        <w:outlineLvl w:val="1"/>
        <w:rPr>
          <w:rFonts w:hint="eastAsia" w:ascii="宋体" w:cs="宋体"/>
          <w:b/>
          <w:bCs/>
          <w:sz w:val="36"/>
        </w:rPr>
      </w:pPr>
    </w:p>
    <w:p>
      <w:pPr>
        <w:ind w:firstLine="3072" w:firstLineChars="850"/>
        <w:outlineLvl w:val="1"/>
        <w:rPr>
          <w:rFonts w:hint="eastAsia" w:ascii="宋体" w:cs="宋体"/>
          <w:b/>
          <w:bCs/>
          <w:sz w:val="36"/>
        </w:rPr>
      </w:pPr>
    </w:p>
    <w:p>
      <w:pPr>
        <w:ind w:firstLine="3072" w:firstLineChars="850"/>
        <w:outlineLvl w:val="1"/>
        <w:rPr>
          <w:rFonts w:hint="eastAsia" w:ascii="宋体" w:cs="宋体"/>
          <w:b/>
          <w:bCs/>
          <w:sz w:val="36"/>
        </w:rPr>
      </w:pPr>
    </w:p>
    <w:p>
      <w:pPr>
        <w:ind w:firstLine="3072" w:firstLineChars="850"/>
        <w:outlineLvl w:val="1"/>
        <w:rPr>
          <w:rFonts w:hint="eastAsia" w:ascii="宋体" w:cs="宋体"/>
          <w:b/>
          <w:bCs/>
          <w:sz w:val="36"/>
        </w:rPr>
      </w:pPr>
    </w:p>
    <w:p>
      <w:pPr>
        <w:ind w:firstLine="3072" w:firstLineChars="850"/>
        <w:outlineLvl w:val="1"/>
        <w:rPr>
          <w:rFonts w:ascii="宋体" w:cs="宋体"/>
          <w:b/>
          <w:bCs/>
          <w:sz w:val="36"/>
        </w:rPr>
      </w:pPr>
      <w:r>
        <w:rPr>
          <w:rFonts w:hint="eastAsia" w:ascii="宋体" w:cs="宋体"/>
          <w:b/>
          <w:bCs/>
          <w:sz w:val="36"/>
        </w:rPr>
        <w:t>拟派监理人员资格审查表</w:t>
      </w:r>
      <w:bookmarkEnd w:id="73"/>
      <w:bookmarkEnd w:id="74"/>
    </w:p>
    <w:p>
      <w:pPr>
        <w:rPr>
          <w:rFonts w:ascii="宋体" w:cs="宋体"/>
          <w:sz w:val="24"/>
        </w:rPr>
      </w:pPr>
    </w:p>
    <w:tbl>
      <w:tblPr>
        <w:tblStyle w:val="20"/>
        <w:tblW w:w="9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5"/>
        <w:gridCol w:w="2880"/>
        <w:gridCol w:w="2435"/>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305" w:type="dxa"/>
            <w:vAlign w:val="center"/>
          </w:tcPr>
          <w:p>
            <w:pPr>
              <w:jc w:val="center"/>
              <w:rPr>
                <w:rFonts w:ascii="宋体" w:cs="宋体"/>
                <w:sz w:val="28"/>
                <w:szCs w:val="28"/>
              </w:rPr>
            </w:pPr>
            <w:r>
              <w:rPr>
                <w:rFonts w:hint="eastAsia" w:ascii="宋体" w:cs="宋体"/>
                <w:sz w:val="28"/>
                <w:szCs w:val="28"/>
              </w:rPr>
              <w:t>姓   名</w:t>
            </w:r>
          </w:p>
        </w:tc>
        <w:tc>
          <w:tcPr>
            <w:tcW w:w="2880" w:type="dxa"/>
            <w:vAlign w:val="center"/>
          </w:tcPr>
          <w:p>
            <w:pPr>
              <w:jc w:val="center"/>
              <w:rPr>
                <w:rFonts w:ascii="宋体" w:cs="宋体"/>
                <w:sz w:val="28"/>
                <w:szCs w:val="28"/>
              </w:rPr>
            </w:pPr>
          </w:p>
        </w:tc>
        <w:tc>
          <w:tcPr>
            <w:tcW w:w="2435" w:type="dxa"/>
            <w:vMerge w:val="restart"/>
            <w:vAlign w:val="center"/>
          </w:tcPr>
          <w:p>
            <w:pPr>
              <w:spacing w:line="480" w:lineRule="exact"/>
              <w:jc w:val="center"/>
              <w:rPr>
                <w:rFonts w:ascii="宋体" w:cs="宋体"/>
                <w:sz w:val="28"/>
                <w:szCs w:val="28"/>
              </w:rPr>
            </w:pPr>
            <w:r>
              <w:rPr>
                <w:rFonts w:hint="eastAsia" w:ascii="宋体" w:cs="宋体"/>
                <w:sz w:val="28"/>
                <w:szCs w:val="28"/>
              </w:rPr>
              <w:t>近五年主要工作</w:t>
            </w:r>
          </w:p>
          <w:p>
            <w:pPr>
              <w:spacing w:line="480" w:lineRule="exact"/>
              <w:jc w:val="center"/>
              <w:rPr>
                <w:rFonts w:ascii="宋体" w:cs="宋体"/>
                <w:sz w:val="28"/>
                <w:szCs w:val="28"/>
              </w:rPr>
            </w:pPr>
            <w:r>
              <w:rPr>
                <w:rFonts w:hint="eastAsia" w:ascii="宋体" w:cs="宋体"/>
                <w:sz w:val="28"/>
                <w:szCs w:val="28"/>
              </w:rPr>
              <w:t>业绩及担任的</w:t>
            </w:r>
          </w:p>
          <w:p>
            <w:pPr>
              <w:spacing w:line="480" w:lineRule="exact"/>
              <w:jc w:val="center"/>
              <w:rPr>
                <w:rFonts w:ascii="宋体" w:cs="宋体"/>
                <w:sz w:val="28"/>
                <w:szCs w:val="28"/>
              </w:rPr>
            </w:pPr>
            <w:r>
              <w:rPr>
                <w:rFonts w:hint="eastAsia" w:ascii="宋体" w:cs="宋体"/>
                <w:sz w:val="28"/>
                <w:szCs w:val="28"/>
              </w:rPr>
              <w:t>主要工作（本处填写工程名称，证明材料作为附件）</w:t>
            </w:r>
          </w:p>
        </w:tc>
        <w:tc>
          <w:tcPr>
            <w:tcW w:w="1940" w:type="dxa"/>
            <w:vMerge w:val="restart"/>
            <w:vAlign w:val="center"/>
          </w:tcPr>
          <w:p>
            <w:pPr>
              <w:jc w:val="center"/>
              <w:rPr>
                <w:rFonts w:ascii="宋体" w:cs="宋体"/>
                <w:sz w:val="28"/>
                <w:szCs w:val="28"/>
              </w:rPr>
            </w:pPr>
            <w:r>
              <w:rPr>
                <w:rFonts w:hint="eastAsia" w:ascii="宋体" w:cs="宋体"/>
                <w:sz w:val="28"/>
                <w:szCs w:val="28"/>
              </w:rPr>
              <w:t>（一寸照片）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305" w:type="dxa"/>
            <w:vAlign w:val="center"/>
          </w:tcPr>
          <w:p>
            <w:pPr>
              <w:jc w:val="center"/>
              <w:rPr>
                <w:rFonts w:ascii="宋体" w:cs="宋体"/>
                <w:sz w:val="28"/>
                <w:szCs w:val="28"/>
              </w:rPr>
            </w:pPr>
            <w:r>
              <w:rPr>
                <w:rFonts w:hint="eastAsia" w:ascii="宋体" w:cs="宋体"/>
                <w:sz w:val="28"/>
                <w:szCs w:val="28"/>
              </w:rPr>
              <w:t>性   别</w:t>
            </w:r>
          </w:p>
        </w:tc>
        <w:tc>
          <w:tcPr>
            <w:tcW w:w="2880" w:type="dxa"/>
            <w:vAlign w:val="center"/>
          </w:tcPr>
          <w:p>
            <w:pPr>
              <w:jc w:val="center"/>
              <w:rPr>
                <w:rFonts w:ascii="宋体" w:cs="宋体"/>
                <w:sz w:val="28"/>
                <w:szCs w:val="28"/>
              </w:rPr>
            </w:pPr>
          </w:p>
        </w:tc>
        <w:tc>
          <w:tcPr>
            <w:tcW w:w="2435" w:type="dxa"/>
            <w:vMerge w:val="continue"/>
            <w:vAlign w:val="center"/>
          </w:tcPr>
          <w:p/>
        </w:tc>
        <w:tc>
          <w:tcPr>
            <w:tcW w:w="1940"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8" w:hRule="atLeast"/>
          <w:jc w:val="center"/>
        </w:trPr>
        <w:tc>
          <w:tcPr>
            <w:tcW w:w="2305" w:type="dxa"/>
            <w:vAlign w:val="center"/>
          </w:tcPr>
          <w:p>
            <w:pPr>
              <w:jc w:val="center"/>
              <w:rPr>
                <w:rFonts w:ascii="宋体" w:cs="宋体"/>
                <w:sz w:val="28"/>
                <w:szCs w:val="28"/>
              </w:rPr>
            </w:pPr>
            <w:r>
              <w:rPr>
                <w:rFonts w:hint="eastAsia" w:ascii="宋体" w:cs="宋体"/>
                <w:sz w:val="28"/>
                <w:szCs w:val="28"/>
              </w:rPr>
              <w:t>年   龄</w:t>
            </w:r>
          </w:p>
        </w:tc>
        <w:tc>
          <w:tcPr>
            <w:tcW w:w="2880" w:type="dxa"/>
            <w:vAlign w:val="center"/>
          </w:tcPr>
          <w:p>
            <w:pPr>
              <w:jc w:val="center"/>
              <w:rPr>
                <w:rFonts w:ascii="宋体" w:cs="宋体"/>
                <w:sz w:val="28"/>
                <w:szCs w:val="28"/>
              </w:rPr>
            </w:pPr>
          </w:p>
        </w:tc>
        <w:tc>
          <w:tcPr>
            <w:tcW w:w="2435" w:type="dxa"/>
            <w:vMerge w:val="continue"/>
            <w:vAlign w:val="center"/>
          </w:tcPr>
          <w:p/>
        </w:tc>
        <w:tc>
          <w:tcPr>
            <w:tcW w:w="1940"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305" w:type="dxa"/>
            <w:vAlign w:val="center"/>
          </w:tcPr>
          <w:p>
            <w:pPr>
              <w:jc w:val="center"/>
              <w:rPr>
                <w:rFonts w:ascii="宋体" w:cs="宋体"/>
                <w:sz w:val="28"/>
                <w:szCs w:val="28"/>
              </w:rPr>
            </w:pPr>
            <w:r>
              <w:rPr>
                <w:rFonts w:hint="eastAsia" w:ascii="宋体" w:cs="宋体"/>
                <w:sz w:val="28"/>
                <w:szCs w:val="28"/>
              </w:rPr>
              <w:t>职   称</w:t>
            </w:r>
          </w:p>
        </w:tc>
        <w:tc>
          <w:tcPr>
            <w:tcW w:w="2880" w:type="dxa"/>
            <w:vAlign w:val="center"/>
          </w:tcPr>
          <w:p>
            <w:pPr>
              <w:jc w:val="center"/>
              <w:rPr>
                <w:rFonts w:ascii="宋体" w:cs="宋体"/>
                <w:sz w:val="28"/>
                <w:szCs w:val="28"/>
              </w:rPr>
            </w:pPr>
          </w:p>
        </w:tc>
        <w:tc>
          <w:tcPr>
            <w:tcW w:w="4375" w:type="dxa"/>
            <w:gridSpan w:val="2"/>
            <w:vMerge w:val="restart"/>
            <w:vAlign w:val="center"/>
          </w:tcPr>
          <w:p>
            <w:pPr>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305" w:type="dxa"/>
            <w:vAlign w:val="center"/>
          </w:tcPr>
          <w:p>
            <w:pPr>
              <w:jc w:val="center"/>
              <w:rPr>
                <w:rFonts w:ascii="宋体" w:cs="宋体"/>
                <w:sz w:val="28"/>
                <w:szCs w:val="28"/>
              </w:rPr>
            </w:pPr>
            <w:r>
              <w:rPr>
                <w:rFonts w:hint="eastAsia" w:ascii="宋体" w:cs="宋体"/>
                <w:sz w:val="28"/>
                <w:szCs w:val="28"/>
              </w:rPr>
              <w:t>毕业学校</w:t>
            </w:r>
          </w:p>
        </w:tc>
        <w:tc>
          <w:tcPr>
            <w:tcW w:w="2880" w:type="dxa"/>
            <w:vAlign w:val="center"/>
          </w:tcPr>
          <w:p>
            <w:pPr>
              <w:jc w:val="center"/>
              <w:rPr>
                <w:rFonts w:ascii="宋体" w:cs="宋体"/>
                <w:sz w:val="28"/>
                <w:szCs w:val="28"/>
              </w:rPr>
            </w:pPr>
          </w:p>
        </w:tc>
        <w:tc>
          <w:tcPr>
            <w:tcW w:w="4375" w:type="dxa"/>
            <w:gridSpan w:val="2"/>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305" w:type="dxa"/>
            <w:vAlign w:val="center"/>
          </w:tcPr>
          <w:p>
            <w:pPr>
              <w:jc w:val="center"/>
              <w:rPr>
                <w:rFonts w:ascii="宋体" w:cs="宋体"/>
                <w:sz w:val="28"/>
                <w:szCs w:val="28"/>
              </w:rPr>
            </w:pPr>
            <w:r>
              <w:rPr>
                <w:rFonts w:hint="eastAsia" w:ascii="宋体" w:cs="宋体"/>
                <w:sz w:val="28"/>
                <w:szCs w:val="28"/>
              </w:rPr>
              <w:t>毕业时间</w:t>
            </w:r>
          </w:p>
        </w:tc>
        <w:tc>
          <w:tcPr>
            <w:tcW w:w="2880" w:type="dxa"/>
            <w:vAlign w:val="center"/>
          </w:tcPr>
          <w:p>
            <w:pPr>
              <w:jc w:val="center"/>
              <w:rPr>
                <w:rFonts w:ascii="宋体" w:cs="宋体"/>
                <w:sz w:val="28"/>
                <w:szCs w:val="28"/>
              </w:rPr>
            </w:pPr>
          </w:p>
        </w:tc>
        <w:tc>
          <w:tcPr>
            <w:tcW w:w="4375" w:type="dxa"/>
            <w:gridSpan w:val="2"/>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305" w:type="dxa"/>
            <w:vAlign w:val="center"/>
          </w:tcPr>
          <w:p>
            <w:pPr>
              <w:jc w:val="center"/>
              <w:rPr>
                <w:rFonts w:ascii="宋体" w:cs="宋体"/>
                <w:sz w:val="28"/>
                <w:szCs w:val="28"/>
              </w:rPr>
            </w:pPr>
            <w:r>
              <w:rPr>
                <w:rFonts w:hint="eastAsia" w:ascii="宋体" w:cs="宋体"/>
                <w:sz w:val="28"/>
                <w:szCs w:val="28"/>
              </w:rPr>
              <w:t>所学专业</w:t>
            </w:r>
          </w:p>
        </w:tc>
        <w:tc>
          <w:tcPr>
            <w:tcW w:w="2880" w:type="dxa"/>
            <w:vAlign w:val="center"/>
          </w:tcPr>
          <w:p>
            <w:pPr>
              <w:jc w:val="center"/>
              <w:rPr>
                <w:rFonts w:ascii="宋体" w:cs="宋体"/>
                <w:sz w:val="28"/>
                <w:szCs w:val="28"/>
              </w:rPr>
            </w:pPr>
          </w:p>
        </w:tc>
        <w:tc>
          <w:tcPr>
            <w:tcW w:w="4375" w:type="dxa"/>
            <w:gridSpan w:val="2"/>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0" w:hRule="atLeast"/>
          <w:jc w:val="center"/>
        </w:trPr>
        <w:tc>
          <w:tcPr>
            <w:tcW w:w="2305" w:type="dxa"/>
            <w:vAlign w:val="center"/>
          </w:tcPr>
          <w:p>
            <w:pPr>
              <w:jc w:val="center"/>
              <w:rPr>
                <w:rFonts w:ascii="宋体" w:cs="宋体"/>
                <w:sz w:val="28"/>
                <w:szCs w:val="28"/>
              </w:rPr>
            </w:pPr>
            <w:r>
              <w:rPr>
                <w:rFonts w:hint="eastAsia" w:ascii="宋体" w:cs="宋体"/>
                <w:sz w:val="28"/>
                <w:szCs w:val="28"/>
              </w:rPr>
              <w:t>注册监理工程师</w:t>
            </w:r>
          </w:p>
          <w:p>
            <w:pPr>
              <w:jc w:val="center"/>
              <w:rPr>
                <w:rFonts w:ascii="宋体" w:cs="宋体"/>
                <w:sz w:val="28"/>
                <w:szCs w:val="28"/>
              </w:rPr>
            </w:pPr>
            <w:r>
              <w:rPr>
                <w:rFonts w:hint="eastAsia" w:ascii="宋体" w:cs="宋体"/>
                <w:sz w:val="28"/>
                <w:szCs w:val="28"/>
              </w:rPr>
              <w:t>证书编号</w:t>
            </w:r>
          </w:p>
        </w:tc>
        <w:tc>
          <w:tcPr>
            <w:tcW w:w="2880" w:type="dxa"/>
            <w:vAlign w:val="center"/>
          </w:tcPr>
          <w:p>
            <w:pPr>
              <w:jc w:val="center"/>
              <w:rPr>
                <w:rFonts w:ascii="宋体" w:cs="宋体"/>
                <w:sz w:val="28"/>
                <w:szCs w:val="28"/>
              </w:rPr>
            </w:pPr>
          </w:p>
        </w:tc>
        <w:tc>
          <w:tcPr>
            <w:tcW w:w="4375" w:type="dxa"/>
            <w:gridSpan w:val="2"/>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0" w:hRule="atLeast"/>
          <w:jc w:val="center"/>
        </w:trPr>
        <w:tc>
          <w:tcPr>
            <w:tcW w:w="2305" w:type="dxa"/>
            <w:vAlign w:val="center"/>
          </w:tcPr>
          <w:p>
            <w:pPr>
              <w:jc w:val="center"/>
              <w:rPr>
                <w:rFonts w:ascii="宋体" w:cs="宋体"/>
                <w:sz w:val="28"/>
                <w:szCs w:val="28"/>
              </w:rPr>
            </w:pPr>
            <w:r>
              <w:rPr>
                <w:rFonts w:hint="eastAsia" w:ascii="宋体" w:cs="宋体"/>
                <w:sz w:val="28"/>
                <w:szCs w:val="28"/>
              </w:rPr>
              <w:t>省厅颁发的</w:t>
            </w:r>
          </w:p>
          <w:p>
            <w:pPr>
              <w:jc w:val="center"/>
              <w:rPr>
                <w:rFonts w:ascii="宋体" w:cs="宋体"/>
                <w:sz w:val="28"/>
                <w:szCs w:val="28"/>
              </w:rPr>
            </w:pPr>
            <w:r>
              <w:rPr>
                <w:rFonts w:hint="eastAsia" w:ascii="宋体" w:cs="宋体"/>
                <w:sz w:val="28"/>
                <w:szCs w:val="28"/>
              </w:rPr>
              <w:t>上岗证书编号</w:t>
            </w:r>
          </w:p>
        </w:tc>
        <w:tc>
          <w:tcPr>
            <w:tcW w:w="2880" w:type="dxa"/>
            <w:vAlign w:val="center"/>
          </w:tcPr>
          <w:p>
            <w:pPr>
              <w:jc w:val="center"/>
              <w:rPr>
                <w:rFonts w:ascii="宋体" w:cs="宋体"/>
                <w:sz w:val="28"/>
                <w:szCs w:val="28"/>
              </w:rPr>
            </w:pPr>
          </w:p>
        </w:tc>
        <w:tc>
          <w:tcPr>
            <w:tcW w:w="4375" w:type="dxa"/>
            <w:gridSpan w:val="2"/>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0" w:hRule="atLeast"/>
          <w:jc w:val="center"/>
        </w:trPr>
        <w:tc>
          <w:tcPr>
            <w:tcW w:w="2305" w:type="dxa"/>
            <w:vAlign w:val="center"/>
          </w:tcPr>
          <w:p>
            <w:pPr>
              <w:jc w:val="center"/>
              <w:rPr>
                <w:rFonts w:ascii="宋体" w:cs="宋体"/>
                <w:sz w:val="28"/>
                <w:szCs w:val="28"/>
              </w:rPr>
            </w:pPr>
            <w:r>
              <w:rPr>
                <w:rFonts w:hint="eastAsia" w:ascii="宋体" w:cs="宋体"/>
                <w:sz w:val="28"/>
                <w:szCs w:val="28"/>
              </w:rPr>
              <w:t>其他证书</w:t>
            </w:r>
          </w:p>
          <w:p>
            <w:pPr>
              <w:jc w:val="center"/>
              <w:rPr>
                <w:rFonts w:ascii="宋体" w:cs="宋体"/>
                <w:sz w:val="28"/>
                <w:szCs w:val="28"/>
              </w:rPr>
            </w:pPr>
            <w:r>
              <w:rPr>
                <w:rFonts w:hint="eastAsia" w:ascii="宋体" w:cs="宋体"/>
                <w:sz w:val="28"/>
                <w:szCs w:val="28"/>
              </w:rPr>
              <w:t>名称及编号</w:t>
            </w:r>
          </w:p>
        </w:tc>
        <w:tc>
          <w:tcPr>
            <w:tcW w:w="2880" w:type="dxa"/>
            <w:vAlign w:val="center"/>
          </w:tcPr>
          <w:p>
            <w:pPr>
              <w:jc w:val="center"/>
              <w:rPr>
                <w:rFonts w:ascii="宋体" w:cs="宋体"/>
                <w:sz w:val="28"/>
                <w:szCs w:val="28"/>
              </w:rPr>
            </w:pPr>
          </w:p>
        </w:tc>
        <w:tc>
          <w:tcPr>
            <w:tcW w:w="4375" w:type="dxa"/>
            <w:gridSpan w:val="2"/>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305" w:type="dxa"/>
            <w:vAlign w:val="center"/>
          </w:tcPr>
          <w:p>
            <w:pPr>
              <w:jc w:val="center"/>
              <w:rPr>
                <w:rFonts w:ascii="宋体" w:cs="宋体"/>
                <w:sz w:val="28"/>
                <w:szCs w:val="28"/>
              </w:rPr>
            </w:pPr>
            <w:r>
              <w:rPr>
                <w:rFonts w:hint="eastAsia" w:ascii="宋体" w:cs="宋体"/>
                <w:sz w:val="28"/>
                <w:szCs w:val="28"/>
              </w:rPr>
              <w:t>联系电话</w:t>
            </w:r>
          </w:p>
        </w:tc>
        <w:tc>
          <w:tcPr>
            <w:tcW w:w="2880" w:type="dxa"/>
            <w:vAlign w:val="center"/>
          </w:tcPr>
          <w:p>
            <w:pPr>
              <w:jc w:val="center"/>
              <w:rPr>
                <w:rFonts w:ascii="宋体" w:cs="宋体"/>
                <w:sz w:val="28"/>
                <w:szCs w:val="28"/>
              </w:rPr>
            </w:pPr>
          </w:p>
        </w:tc>
        <w:tc>
          <w:tcPr>
            <w:tcW w:w="4375" w:type="dxa"/>
            <w:gridSpan w:val="2"/>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1" w:hRule="atLeast"/>
          <w:jc w:val="center"/>
        </w:trPr>
        <w:tc>
          <w:tcPr>
            <w:tcW w:w="2305" w:type="dxa"/>
            <w:vAlign w:val="center"/>
          </w:tcPr>
          <w:p>
            <w:pPr>
              <w:jc w:val="center"/>
              <w:rPr>
                <w:rFonts w:ascii="宋体" w:cs="宋体"/>
                <w:sz w:val="28"/>
                <w:szCs w:val="28"/>
              </w:rPr>
            </w:pPr>
            <w:r>
              <w:rPr>
                <w:rFonts w:hint="eastAsia" w:ascii="宋体" w:cs="宋体"/>
                <w:sz w:val="28"/>
                <w:szCs w:val="28"/>
              </w:rPr>
              <w:t>拟在本工程项目担任的主要工作</w:t>
            </w:r>
          </w:p>
        </w:tc>
        <w:tc>
          <w:tcPr>
            <w:tcW w:w="7255" w:type="dxa"/>
            <w:gridSpan w:val="3"/>
            <w:vAlign w:val="center"/>
          </w:tcPr>
          <w:p>
            <w:pPr>
              <w:jc w:val="center"/>
              <w:rPr>
                <w:rFonts w:ascii="宋体" w:cs="宋体"/>
                <w:sz w:val="28"/>
                <w:szCs w:val="28"/>
              </w:rPr>
            </w:pPr>
          </w:p>
        </w:tc>
      </w:tr>
    </w:tbl>
    <w:p>
      <w:pPr>
        <w:rPr>
          <w:rFonts w:ascii="宋体" w:cs="宋体"/>
          <w:b/>
          <w:bCs/>
          <w:sz w:val="28"/>
          <w:szCs w:val="28"/>
        </w:rPr>
      </w:pPr>
      <w:r>
        <w:rPr>
          <w:rFonts w:hint="eastAsia" w:ascii="宋体" w:cs="宋体"/>
          <w:b/>
          <w:bCs/>
          <w:sz w:val="28"/>
          <w:szCs w:val="28"/>
        </w:rPr>
        <w:t>附监理人员相关证书原件扫描件</w:t>
      </w:r>
    </w:p>
    <w:p>
      <w:pPr>
        <w:pStyle w:val="18"/>
        <w:ind w:left="0" w:leftChars="0" w:firstLine="0" w:firstLineChars="0"/>
        <w:rPr>
          <w:rFonts w:hint="eastAsia" w:ascii="宋体"/>
          <w:sz w:val="24"/>
        </w:rPr>
      </w:pPr>
    </w:p>
    <w:p>
      <w:pPr>
        <w:pStyle w:val="18"/>
        <w:ind w:left="0" w:leftChars="0" w:firstLine="0" w:firstLineChars="0"/>
        <w:rPr>
          <w:rFonts w:hint="eastAsia" w:ascii="宋体"/>
          <w:sz w:val="24"/>
        </w:rPr>
      </w:pPr>
    </w:p>
    <w:p>
      <w:pPr>
        <w:bidi w:val="0"/>
        <w:jc w:val="center"/>
        <w:outlineLvl w:val="0"/>
        <w:rPr>
          <w:rFonts w:hint="eastAsia" w:eastAsia="宋体"/>
          <w:b/>
          <w:bCs/>
          <w:sz w:val="36"/>
          <w:szCs w:val="36"/>
          <w:lang w:eastAsia="zh-CN"/>
        </w:rPr>
      </w:pPr>
      <w:bookmarkStart w:id="75" w:name="_Toc32283"/>
      <w:bookmarkStart w:id="76" w:name="_Toc24086"/>
      <w:r>
        <w:rPr>
          <w:b/>
          <w:bCs/>
          <w:sz w:val="36"/>
          <w:szCs w:val="36"/>
        </w:rPr>
        <w:t xml:space="preserve">投 标 报 价 </w:t>
      </w:r>
      <w:bookmarkEnd w:id="75"/>
      <w:r>
        <w:rPr>
          <w:rFonts w:hint="eastAsia"/>
          <w:b/>
          <w:bCs/>
          <w:sz w:val="36"/>
          <w:szCs w:val="36"/>
          <w:lang w:val="en-US" w:eastAsia="zh-CN"/>
        </w:rPr>
        <w:t>函</w:t>
      </w:r>
      <w:bookmarkEnd w:id="76"/>
    </w:p>
    <w:p>
      <w:pPr>
        <w:bidi w:val="0"/>
      </w:pPr>
    </w:p>
    <w:p>
      <w:pPr>
        <w:bidi w:val="0"/>
      </w:pPr>
    </w:p>
    <w:p>
      <w:pPr>
        <w:bidi w:val="0"/>
      </w:pPr>
      <w:r>
        <w:t xml:space="preserve"> </w:t>
      </w:r>
      <w:r>
        <w:rPr>
          <w:u w:val="single"/>
        </w:rPr>
        <w:t xml:space="preserve">               </w:t>
      </w:r>
      <w:r>
        <w:t>（招标人名称）：</w:t>
      </w:r>
    </w:p>
    <w:p>
      <w:pPr>
        <w:bidi w:val="0"/>
      </w:pP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pPr>
      <w:r>
        <w:t>一、根据已收到的本次施工阶段监理招标文件，我单位经考察现场和研究招标文件，我方承诺以</w:t>
      </w:r>
      <w:r>
        <w:rPr>
          <w:rFonts w:hint="eastAsia"/>
          <w:color w:val="auto"/>
          <w:highlight w:val="none"/>
          <w:lang w:val="en-US" w:eastAsia="zh-CN"/>
        </w:rPr>
        <w:t>施工</w:t>
      </w:r>
      <w:r>
        <w:rPr>
          <w:rFonts w:hint="eastAsia"/>
          <w:color w:val="auto"/>
          <w:highlight w:val="none"/>
        </w:rPr>
        <w:t>结算价</w:t>
      </w:r>
      <w:r>
        <w:rPr>
          <w:color w:val="auto"/>
          <w:highlight w:val="none"/>
        </w:rPr>
        <w:t>为取费基础</w:t>
      </w:r>
      <w:r>
        <w:t>，费率报价为：</w:t>
      </w:r>
      <w:r>
        <w:rPr>
          <w:u w:val="single"/>
        </w:rPr>
        <w:t xml:space="preserve">          </w:t>
      </w:r>
      <w:r>
        <w:rPr>
          <w:rFonts w:hint="eastAsia"/>
          <w:sz w:val="24"/>
          <w:szCs w:val="24"/>
          <w:u w:val="single"/>
          <w:lang w:val="en-US" w:eastAsia="zh-CN"/>
        </w:rPr>
        <w:t>%</w:t>
      </w:r>
      <w:r>
        <w:t>，大写：</w:t>
      </w:r>
      <w:r>
        <w:rPr>
          <w:u w:val="single"/>
        </w:rPr>
        <w:t xml:space="preserve">            </w:t>
      </w:r>
      <w:r>
        <w:t>。并派出</w:t>
      </w:r>
      <w:r>
        <w:rPr>
          <w:u w:val="single"/>
        </w:rPr>
        <w:t xml:space="preserve">          </w:t>
      </w:r>
      <w:r>
        <w:t xml:space="preserve">为本项目的总监理工程师，按招标文件的要求承担本项目的施工监理工作。 </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pPr>
      <w:r>
        <w:t>二、随本投标书，我方同时按照要求提交</w:t>
      </w:r>
      <w:r>
        <w:rPr>
          <w:highlight w:val="none"/>
          <w:u w:val="single"/>
        </w:rPr>
        <w:t xml:space="preserve">      </w:t>
      </w:r>
      <w:r>
        <w:t>元的投标保证金。如果我方在本投标书有效期内撤回投标书，或在中标通知书下达后</w:t>
      </w:r>
      <w:r>
        <w:rPr>
          <w:u w:val="single"/>
        </w:rPr>
        <w:t xml:space="preserve">  7  </w:t>
      </w:r>
      <w:r>
        <w:t xml:space="preserve">天内未能或拒绝签订合同书，或自行转标，贵单位有权不予退还投标保证金，并另选中标单位。 </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pPr>
      <w:r>
        <w:t xml:space="preserve">三、如果我方中标我方将按照招标文件的规定提交履约保证金。工程竣工验收合格，施工结算、资料归档及审计结束后，方可退还。 </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pPr>
      <w:r>
        <w:t>四、在收到贵单位发出的进场通知书后，我单位保证按照通知要求安排监理人员进场，完成监理任务。</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pPr>
      <w:r>
        <w:t xml:space="preserve">五、在正式合同签订之前，贵单位的招标文件、进场通知书、中标通知书和本投标文件构成约束我们双方的合同。 </w:t>
      </w:r>
    </w:p>
    <w:p>
      <w:pPr>
        <w:bidi w:val="0"/>
      </w:pPr>
    </w:p>
    <w:p>
      <w:pPr>
        <w:bidi w:val="0"/>
      </w:pPr>
    </w:p>
    <w:p>
      <w:pPr>
        <w:bidi w:val="0"/>
      </w:pPr>
    </w:p>
    <w:p>
      <w:pPr>
        <w:bidi w:val="0"/>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firstLine="1320" w:firstLineChars="600"/>
        <w:textAlignment w:val="auto"/>
      </w:pPr>
      <w:r>
        <w:t xml:space="preserve">投标人（盖章）： </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firstLine="1320" w:firstLineChars="600"/>
        <w:textAlignment w:val="auto"/>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firstLine="1320" w:firstLineChars="600"/>
        <w:textAlignment w:val="auto"/>
      </w:pPr>
      <w:r>
        <w:t>法定代表人（签字或盖章）：</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firstLine="1320" w:firstLineChars="600"/>
        <w:textAlignment w:val="auto"/>
      </w:pPr>
      <w:r>
        <w:t xml:space="preserve">地址： </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firstLine="1320" w:firstLineChars="600"/>
        <w:textAlignment w:val="auto"/>
      </w:pPr>
      <w:r>
        <w:t>电话：</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firstLine="1320" w:firstLineChars="600"/>
        <w:textAlignment w:val="auto"/>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firstLine="1320" w:firstLineChars="600"/>
        <w:textAlignment w:val="auto"/>
      </w:pPr>
      <w:r>
        <w:t xml:space="preserve">日 期 ：      年     月   日 </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rPr>
      </w:pPr>
      <w:r>
        <w:t xml:space="preserve"> </w:t>
      </w:r>
    </w:p>
    <w:p>
      <w:pPr>
        <w:pStyle w:val="18"/>
        <w:rPr>
          <w:rFonts w:hint="eastAsia"/>
          <w:color w:val="FF0000"/>
        </w:rPr>
      </w:pPr>
    </w:p>
    <w:p>
      <w:pPr>
        <w:pStyle w:val="18"/>
        <w:rPr>
          <w:rFonts w:hint="eastAsia"/>
          <w:color w:val="FF0000"/>
        </w:rPr>
      </w:pPr>
    </w:p>
    <w:p>
      <w:pPr>
        <w:pStyle w:val="18"/>
        <w:rPr>
          <w:rFonts w:hint="eastAsia"/>
          <w:color w:val="FF0000"/>
        </w:rPr>
      </w:pPr>
    </w:p>
    <w:p>
      <w:pPr>
        <w:pStyle w:val="18"/>
        <w:rPr>
          <w:rFonts w:hint="eastAsia"/>
          <w:color w:val="FF0000"/>
        </w:rPr>
      </w:pPr>
    </w:p>
    <w:p>
      <w:pPr>
        <w:pStyle w:val="18"/>
        <w:rPr>
          <w:rFonts w:hint="eastAsia"/>
          <w:color w:val="FF0000"/>
        </w:rPr>
      </w:pPr>
    </w:p>
    <w:p>
      <w:pPr>
        <w:pStyle w:val="18"/>
        <w:rPr>
          <w:rFonts w:hint="eastAsia"/>
          <w:color w:val="FF0000"/>
        </w:rPr>
      </w:pPr>
    </w:p>
    <w:p>
      <w:pPr>
        <w:pStyle w:val="18"/>
        <w:rPr>
          <w:rFonts w:hint="eastAsia"/>
          <w:color w:val="FF0000"/>
        </w:rPr>
      </w:pPr>
    </w:p>
    <w:p>
      <w:pPr>
        <w:pStyle w:val="18"/>
        <w:rPr>
          <w:rFonts w:hint="eastAsia"/>
          <w:color w:val="FF0000"/>
        </w:rPr>
      </w:pPr>
    </w:p>
    <w:p>
      <w:pPr>
        <w:spacing w:line="440" w:lineRule="exact"/>
        <w:jc w:val="center"/>
        <w:outlineLvl w:val="0"/>
        <w:rPr>
          <w:rFonts w:hint="eastAsia" w:ascii="宋体"/>
          <w:b/>
          <w:sz w:val="32"/>
          <w:szCs w:val="32"/>
        </w:rPr>
      </w:pPr>
      <w:bookmarkStart w:id="77" w:name="_Toc15820"/>
      <w:bookmarkStart w:id="78" w:name="_Toc469495747"/>
      <w:r>
        <w:rPr>
          <w:rFonts w:hint="eastAsia" w:ascii="宋体"/>
          <w:b/>
          <w:sz w:val="32"/>
          <w:szCs w:val="32"/>
          <w:lang w:eastAsia="zh-CN"/>
        </w:rPr>
        <w:t>第</w:t>
      </w:r>
      <w:r>
        <w:rPr>
          <w:rFonts w:hint="eastAsia"/>
          <w:b/>
          <w:sz w:val="32"/>
          <w:szCs w:val="32"/>
          <w:lang w:val="en-US" w:eastAsia="zh-CN"/>
        </w:rPr>
        <w:t>七</w:t>
      </w:r>
      <w:r>
        <w:rPr>
          <w:rFonts w:hint="eastAsia" w:ascii="宋体"/>
          <w:b/>
          <w:sz w:val="32"/>
          <w:szCs w:val="32"/>
          <w:lang w:eastAsia="zh-CN"/>
        </w:rPr>
        <w:t>章</w:t>
      </w:r>
      <w:r>
        <w:rPr>
          <w:rFonts w:hint="eastAsia" w:ascii="宋体"/>
          <w:b/>
          <w:sz w:val="32"/>
          <w:szCs w:val="32"/>
        </w:rPr>
        <w:t xml:space="preserve"> 招标单位、招标代理机构对本交易文件的确认</w:t>
      </w:r>
      <w:bookmarkEnd w:id="77"/>
      <w:bookmarkEnd w:id="78"/>
    </w:p>
    <w:p>
      <w:pPr>
        <w:spacing w:line="440" w:lineRule="exact"/>
        <w:rPr>
          <w:rFonts w:hint="eastAsia" w:ascii="宋体"/>
          <w:sz w:val="24"/>
          <w:u w:val="single"/>
        </w:rPr>
      </w:pPr>
    </w:p>
    <w:tbl>
      <w:tblPr>
        <w:tblStyle w:val="20"/>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9" w:hRule="atLeast"/>
          <w:jc w:val="center"/>
        </w:trPr>
        <w:tc>
          <w:tcPr>
            <w:tcW w:w="9000" w:type="dxa"/>
            <w:noWrap w:val="0"/>
            <w:vAlign w:val="top"/>
          </w:tcPr>
          <w:p>
            <w:pPr>
              <w:adjustRightInd w:val="0"/>
              <w:snapToGrid w:val="0"/>
              <w:spacing w:line="560" w:lineRule="exact"/>
              <w:ind w:firstLine="480" w:firstLineChars="200"/>
              <w:rPr>
                <w:rFonts w:hint="eastAsia"/>
                <w:sz w:val="24"/>
              </w:rPr>
            </w:pPr>
          </w:p>
          <w:p>
            <w:pPr>
              <w:spacing w:line="560" w:lineRule="exact"/>
              <w:ind w:firstLine="480" w:firstLineChars="200"/>
              <w:rPr>
                <w:rFonts w:hint="eastAsia" w:ascii="宋体" w:hAnsi="宋体"/>
                <w:color w:val="000000"/>
                <w:sz w:val="24"/>
              </w:rPr>
            </w:pPr>
            <w:r>
              <w:rPr>
                <w:rFonts w:hint="eastAsia" w:ascii="宋体" w:hAnsi="宋体"/>
                <w:color w:val="000000"/>
                <w:sz w:val="24"/>
              </w:rPr>
              <w:t>我单位对</w:t>
            </w:r>
            <w:r>
              <w:rPr>
                <w:rFonts w:hint="eastAsia"/>
                <w:b/>
                <w:bCs/>
                <w:color w:val="000000"/>
                <w:sz w:val="24"/>
                <w:u w:val="single"/>
                <w:lang w:val="en-US" w:eastAsia="zh-CN"/>
              </w:rPr>
              <w:t>红花桥路（览山路-红花桥水库）监理项目</w:t>
            </w:r>
            <w:r>
              <w:rPr>
                <w:rFonts w:hint="eastAsia" w:ascii="宋体" w:hAnsi="宋体"/>
                <w:color w:val="000000"/>
                <w:sz w:val="24"/>
              </w:rPr>
              <w:t>交易文件进行确认。</w:t>
            </w:r>
          </w:p>
          <w:p>
            <w:pPr>
              <w:spacing w:line="560" w:lineRule="exact"/>
              <w:ind w:firstLine="480" w:firstLineChars="200"/>
              <w:rPr>
                <w:rFonts w:hint="eastAsia" w:ascii="宋体" w:hAnsi="宋体"/>
                <w:color w:val="000000"/>
                <w:sz w:val="24"/>
              </w:rPr>
            </w:pPr>
            <w:r>
              <w:rPr>
                <w:rFonts w:hint="eastAsia" w:ascii="宋体" w:hAnsi="宋体"/>
                <w:color w:val="000000"/>
                <w:sz w:val="24"/>
              </w:rPr>
              <w:t>招 标 人：安徽省琅琊山旅游发展有限公司</w:t>
            </w:r>
          </w:p>
          <w:p>
            <w:pPr>
              <w:spacing w:line="560" w:lineRule="exact"/>
              <w:ind w:firstLine="480" w:firstLineChars="200"/>
              <w:rPr>
                <w:rFonts w:hint="eastAsia" w:ascii="宋体" w:hAnsi="宋体" w:eastAsia="宋体"/>
                <w:color w:val="000000"/>
                <w:sz w:val="24"/>
                <w:lang w:eastAsia="zh-CN"/>
              </w:rPr>
            </w:pPr>
            <w:r>
              <w:rPr>
                <w:rFonts w:hint="eastAsia" w:ascii="宋体" w:hAnsi="宋体"/>
                <w:color w:val="000000"/>
                <w:sz w:val="24"/>
              </w:rPr>
              <w:t>经 办 人：</w:t>
            </w:r>
            <w:r>
              <w:rPr>
                <w:rFonts w:hint="eastAsia"/>
                <w:color w:val="000000"/>
                <w:sz w:val="24"/>
                <w:lang w:val="en-US" w:eastAsia="zh-CN"/>
              </w:rPr>
              <w:t>周海龙</w:t>
            </w:r>
          </w:p>
          <w:p>
            <w:pPr>
              <w:spacing w:line="560" w:lineRule="exact"/>
              <w:ind w:firstLine="480" w:firstLineChars="200"/>
              <w:rPr>
                <w:rFonts w:hint="eastAsia" w:ascii="宋体" w:hAnsi="宋体"/>
                <w:color w:val="000000"/>
                <w:sz w:val="24"/>
              </w:rPr>
            </w:pPr>
            <w:r>
              <w:rPr>
                <w:rFonts w:hint="eastAsia" w:ascii="宋体" w:hAnsi="宋体"/>
                <w:color w:val="000000"/>
                <w:sz w:val="24"/>
              </w:rPr>
              <w:t>联系电话：</w:t>
            </w:r>
            <w:r>
              <w:rPr>
                <w:rFonts w:hint="eastAsia"/>
                <w:color w:val="000000"/>
                <w:sz w:val="24"/>
                <w:lang w:val="en-US" w:eastAsia="zh-CN"/>
              </w:rPr>
              <w:t>15755091878</w:t>
            </w:r>
          </w:p>
          <w:p>
            <w:pPr>
              <w:spacing w:line="700" w:lineRule="exact"/>
              <w:ind w:firstLine="480" w:firstLineChars="200"/>
              <w:rPr>
                <w:rFonts w:hint="eastAsia"/>
                <w:sz w:val="24"/>
              </w:rPr>
            </w:pPr>
            <w:r>
              <w:rPr>
                <w:rFonts w:hint="eastAsia" w:ascii="宋体" w:hAnsi="宋体"/>
                <w:color w:val="000000"/>
                <w:sz w:val="24"/>
              </w:rPr>
              <w:t xml:space="preserve">                            </w:t>
            </w:r>
            <w:r>
              <w:rPr>
                <w:rFonts w:hint="eastAsia"/>
                <w:sz w:val="24"/>
              </w:rPr>
              <w:t xml:space="preserve">                   </w:t>
            </w:r>
          </w:p>
          <w:p>
            <w:pPr>
              <w:spacing w:line="560" w:lineRule="exact"/>
              <w:ind w:firstLine="240" w:firstLineChars="100"/>
              <w:rPr>
                <w:rFonts w:hint="eastAsia"/>
                <w:sz w:val="24"/>
              </w:rPr>
            </w:pPr>
            <w:r>
              <w:rPr>
                <w:rFonts w:hint="eastAsia"/>
                <w:sz w:val="24"/>
              </w:rPr>
              <w:t xml:space="preserve">                                   </w:t>
            </w:r>
          </w:p>
          <w:p>
            <w:pPr>
              <w:spacing w:line="560" w:lineRule="exact"/>
              <w:ind w:firstLine="4680" w:firstLineChars="1950"/>
              <w:rPr>
                <w:rFonts w:hint="eastAsia"/>
                <w:sz w:val="24"/>
              </w:rPr>
            </w:pPr>
            <w:r>
              <w:rPr>
                <w:rFonts w:hint="eastAsia"/>
                <w:sz w:val="24"/>
              </w:rPr>
              <w:t>（单位盖章）</w:t>
            </w:r>
          </w:p>
          <w:p>
            <w:pPr>
              <w:wordWrap w:val="0"/>
              <w:spacing w:line="560" w:lineRule="exact"/>
              <w:jc w:val="right"/>
              <w:rPr>
                <w:rFonts w:hint="eastAsia" w:eastAsia="宋体"/>
                <w:sz w:val="24"/>
                <w:lang w:val="en-US" w:eastAsia="zh-CN"/>
              </w:rPr>
            </w:pPr>
            <w:r>
              <w:rPr>
                <w:rFonts w:hint="eastAsia"/>
                <w:sz w:val="24"/>
                <w:lang w:eastAsia="zh-CN"/>
              </w:rPr>
              <w:t>2020</w:t>
            </w:r>
            <w:r>
              <w:rPr>
                <w:rFonts w:hint="eastAsia"/>
                <w:sz w:val="24"/>
              </w:rPr>
              <w:t>年</w:t>
            </w:r>
            <w:r>
              <w:rPr>
                <w:rFonts w:hint="eastAsia"/>
                <w:sz w:val="24"/>
                <w:lang w:val="en-US" w:eastAsia="zh-CN"/>
              </w:rPr>
              <w:t>04</w:t>
            </w:r>
            <w:r>
              <w:rPr>
                <w:rFonts w:hint="eastAsia"/>
                <w:sz w:val="24"/>
              </w:rPr>
              <w:t>月</w:t>
            </w:r>
            <w:r>
              <w:rPr>
                <w:rFonts w:hint="eastAsia"/>
                <w:sz w:val="24"/>
                <w:lang w:val="en-US" w:eastAsia="zh-CN"/>
              </w:rPr>
              <w:t xml:space="preserve">28日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8" w:hRule="atLeast"/>
          <w:jc w:val="center"/>
        </w:trPr>
        <w:tc>
          <w:tcPr>
            <w:tcW w:w="9000" w:type="dxa"/>
            <w:noWrap w:val="0"/>
            <w:vAlign w:val="top"/>
          </w:tcPr>
          <w:p>
            <w:pPr>
              <w:spacing w:line="560" w:lineRule="exact"/>
              <w:ind w:firstLine="480" w:firstLineChars="200"/>
              <w:rPr>
                <w:rFonts w:hint="eastAsia"/>
                <w:sz w:val="24"/>
              </w:rPr>
            </w:pPr>
          </w:p>
          <w:p>
            <w:pPr>
              <w:spacing w:line="620" w:lineRule="exact"/>
              <w:ind w:firstLine="480" w:firstLineChars="200"/>
              <w:rPr>
                <w:rFonts w:hint="eastAsia"/>
                <w:sz w:val="24"/>
              </w:rPr>
            </w:pPr>
            <w:r>
              <w:rPr>
                <w:rFonts w:hint="eastAsia"/>
                <w:sz w:val="24"/>
              </w:rPr>
              <w:t>招标代理机构：</w:t>
            </w:r>
            <w:r>
              <w:rPr>
                <w:rFonts w:hint="eastAsia"/>
                <w:sz w:val="24"/>
                <w:lang w:val="en-US" w:eastAsia="zh-CN"/>
              </w:rPr>
              <w:t>滁州青山工程咨询有限公司</w:t>
            </w:r>
            <w:r>
              <w:rPr>
                <w:rFonts w:hint="eastAsia"/>
                <w:sz w:val="24"/>
              </w:rPr>
              <w:t xml:space="preserve"> </w:t>
            </w:r>
          </w:p>
          <w:p>
            <w:pPr>
              <w:spacing w:line="620" w:lineRule="exact"/>
              <w:ind w:firstLine="480" w:firstLineChars="200"/>
              <w:rPr>
                <w:rFonts w:hint="eastAsia"/>
                <w:sz w:val="24"/>
              </w:rPr>
            </w:pPr>
            <w:r>
              <w:rPr>
                <w:rFonts w:hint="eastAsia"/>
                <w:sz w:val="24"/>
              </w:rPr>
              <w:t>经办人：</w:t>
            </w:r>
            <w:r>
              <w:rPr>
                <w:rFonts w:hint="eastAsia"/>
                <w:sz w:val="24"/>
                <w:lang w:val="en-US" w:eastAsia="zh-CN"/>
              </w:rPr>
              <w:t>鲁丹丹</w:t>
            </w:r>
          </w:p>
          <w:p>
            <w:pPr>
              <w:spacing w:line="620" w:lineRule="exact"/>
              <w:ind w:firstLine="480" w:firstLineChars="200"/>
              <w:rPr>
                <w:rFonts w:hint="eastAsia"/>
                <w:sz w:val="24"/>
              </w:rPr>
            </w:pPr>
            <w:r>
              <w:rPr>
                <w:rFonts w:hint="eastAsia"/>
                <w:sz w:val="24"/>
              </w:rPr>
              <w:t xml:space="preserve"> 电话：</w:t>
            </w:r>
            <w:r>
              <w:rPr>
                <w:rFonts w:hint="eastAsia"/>
                <w:sz w:val="24"/>
                <w:lang w:val="en-US" w:eastAsia="zh-CN"/>
              </w:rPr>
              <w:t>15105509861</w:t>
            </w:r>
          </w:p>
          <w:p>
            <w:pPr>
              <w:spacing w:line="620" w:lineRule="exact"/>
              <w:ind w:firstLine="480" w:firstLineChars="200"/>
              <w:rPr>
                <w:rFonts w:hint="eastAsia"/>
                <w:sz w:val="24"/>
              </w:rPr>
            </w:pPr>
            <w:r>
              <w:rPr>
                <w:rFonts w:hint="eastAsia"/>
                <w:sz w:val="24"/>
              </w:rPr>
              <w:t xml:space="preserve">    </w:t>
            </w:r>
          </w:p>
          <w:p>
            <w:pPr>
              <w:spacing w:line="560" w:lineRule="exact"/>
              <w:ind w:firstLine="480" w:firstLineChars="200"/>
              <w:rPr>
                <w:rFonts w:hint="eastAsia"/>
                <w:sz w:val="24"/>
              </w:rPr>
            </w:pPr>
          </w:p>
          <w:p>
            <w:pPr>
              <w:spacing w:line="560" w:lineRule="exact"/>
              <w:ind w:firstLine="240" w:firstLineChars="100"/>
              <w:rPr>
                <w:rFonts w:hint="eastAsia"/>
                <w:sz w:val="24"/>
              </w:rPr>
            </w:pPr>
            <w:r>
              <w:rPr>
                <w:rFonts w:hint="eastAsia"/>
                <w:sz w:val="24"/>
              </w:rPr>
              <w:t xml:space="preserve">                              </w:t>
            </w:r>
            <w:r>
              <w:rPr>
                <w:rFonts w:hint="eastAsia"/>
                <w:sz w:val="24"/>
                <w:lang w:val="en-US" w:eastAsia="zh-CN"/>
              </w:rPr>
              <w:t xml:space="preserve"> </w:t>
            </w:r>
            <w:r>
              <w:rPr>
                <w:rFonts w:hint="eastAsia"/>
                <w:sz w:val="24"/>
              </w:rPr>
              <w:t xml:space="preserve">  </w:t>
            </w:r>
            <w:r>
              <w:rPr>
                <w:rFonts w:hint="eastAsia"/>
                <w:sz w:val="24"/>
                <w:lang w:val="en-US" w:eastAsia="zh-CN"/>
              </w:rPr>
              <w:t xml:space="preserve"> </w:t>
            </w:r>
            <w:r>
              <w:rPr>
                <w:rFonts w:hint="eastAsia"/>
                <w:sz w:val="24"/>
              </w:rPr>
              <w:t xml:space="preserve">  （单位盖章）</w:t>
            </w:r>
          </w:p>
          <w:p>
            <w:pPr>
              <w:pStyle w:val="26"/>
              <w:rPr>
                <w:rFonts w:hint="eastAsia"/>
                <w:sz w:val="24"/>
              </w:rPr>
            </w:pPr>
          </w:p>
          <w:p>
            <w:pPr>
              <w:wordWrap w:val="0"/>
              <w:spacing w:line="560" w:lineRule="exact"/>
              <w:jc w:val="right"/>
              <w:rPr>
                <w:rFonts w:hint="eastAsia" w:eastAsia="宋体"/>
                <w:sz w:val="24"/>
                <w:lang w:val="en-US" w:eastAsia="zh-CN"/>
              </w:rPr>
            </w:pPr>
            <w:r>
              <w:rPr>
                <w:rFonts w:hint="eastAsia"/>
                <w:sz w:val="24"/>
                <w:lang w:eastAsia="zh-CN"/>
              </w:rPr>
              <w:t>2020</w:t>
            </w:r>
            <w:r>
              <w:rPr>
                <w:rFonts w:hint="eastAsia"/>
                <w:sz w:val="24"/>
              </w:rPr>
              <w:t>年</w:t>
            </w:r>
            <w:r>
              <w:rPr>
                <w:rFonts w:hint="eastAsia"/>
                <w:sz w:val="24"/>
                <w:lang w:val="en-US" w:eastAsia="zh-CN"/>
              </w:rPr>
              <w:t>04</w:t>
            </w:r>
            <w:r>
              <w:rPr>
                <w:rFonts w:hint="eastAsia"/>
                <w:sz w:val="24"/>
              </w:rPr>
              <w:t>月</w:t>
            </w:r>
            <w:r>
              <w:rPr>
                <w:rFonts w:hint="eastAsia"/>
                <w:sz w:val="24"/>
                <w:lang w:val="en-US" w:eastAsia="zh-CN"/>
              </w:rPr>
              <w:t xml:space="preserve">28日 </w:t>
            </w:r>
          </w:p>
        </w:tc>
      </w:tr>
    </w:tbl>
    <w:p>
      <w:pPr>
        <w:pStyle w:val="18"/>
        <w:rPr>
          <w:rFonts w:hint="eastAsia"/>
          <w:color w:val="FF0000"/>
        </w:rPr>
      </w:pPr>
    </w:p>
    <w:sectPr>
      <w:pgSz w:w="11910" w:h="16850"/>
      <w:pgMar w:top="1260" w:right="960" w:bottom="880" w:left="1480" w:header="0" w:footer="636"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14"/>
      </w:rPr>
    </w:pPr>
    <w:r>
      <mc:AlternateContent>
        <mc:Choice Requires="wps">
          <w:drawing>
            <wp:anchor distT="0" distB="0" distL="114300" distR="114300" simplePos="0" relativeHeight="251661312" behindDoc="1" locked="0" layoutInCell="1" allowOverlap="1">
              <wp:simplePos x="0" y="0"/>
              <wp:positionH relativeFrom="page">
                <wp:posOffset>3741420</wp:posOffset>
              </wp:positionH>
              <wp:positionV relativeFrom="page">
                <wp:posOffset>10114280</wp:posOffset>
              </wp:positionV>
              <wp:extent cx="165100" cy="152400"/>
              <wp:effectExtent l="0" t="0" r="0" b="0"/>
              <wp:wrapNone/>
              <wp:docPr id="70" name="文本框 1"/>
              <wp:cNvGraphicFramePr/>
              <a:graphic xmlns:a="http://schemas.openxmlformats.org/drawingml/2006/main">
                <a:graphicData uri="http://schemas.microsoft.com/office/word/2010/wordprocessingShape">
                  <wps:wsp>
                    <wps:cNvSpPr txBox="1"/>
                    <wps:spPr>
                      <a:xfrm>
                        <a:off x="0" y="0"/>
                        <a:ext cx="16510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1" o:spid="_x0000_s1026" o:spt="202" type="#_x0000_t202" style="position:absolute;left:0pt;margin-left:294.6pt;margin-top:796.4pt;height:12pt;width:13pt;mso-position-horizontal-relative:page;mso-position-vertical-relative:page;z-index:-251655168;mso-width-relative:page;mso-height-relative:page;" filled="f" stroked="f" coordsize="21600,21600" o:gfxdata="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oNaiydkAAAANAQAADwAAAAAAAAABACAAAAAiAAAAZHJzL2Rvd25yZXYueG1sUEsBAhQA&#10;FAAAAAgAh07iQHO1aQG4AQAAcgMAAA4AAAAAAAAAAQAgAAAAKAEAAGRycy9lMm9Eb2MueG1sUEsF&#10;BgAAAAAGAAYAWQEAAFIFA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4153"/>
        <w:tab w:val="clear" w:pos="8306"/>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r>
                            <w:rPr>
                              <w:rFonts w:hint="eastAsia" w:eastAsia="宋体"/>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4"/>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r>
                      <w:rPr>
                        <w:rFonts w:hint="eastAsia" w:eastAsia="宋体"/>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30" w:rightChars="150" w:firstLine="270"/>
      <w:rPr>
        <w:rFonts w:hint="eastAsia"/>
        <w:szCs w:val="21"/>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74</w:t>
                          </w:r>
                          <w:r>
                            <w:rPr>
                              <w:rFonts w:hint="eastAsia" w:eastAsia="宋体"/>
                              <w:lang w:eastAsia="zh-CN"/>
                            </w:rPr>
                            <w:fldChar w:fldCharType="end"/>
                          </w:r>
                          <w:r>
                            <w:rPr>
                              <w:rFonts w:hint="eastAsia" w:eastAsia="宋体"/>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14"/>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74</w:t>
                    </w:r>
                    <w:r>
                      <w:rPr>
                        <w:rFonts w:hint="eastAsia" w:eastAsia="宋体"/>
                        <w:lang w:eastAsia="zh-CN"/>
                      </w:rPr>
                      <w:fldChar w:fldCharType="end"/>
                    </w:r>
                    <w:r>
                      <w:rPr>
                        <w:rFonts w:hint="eastAsia" w:eastAsia="宋体"/>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tabs>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firstLine="2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E40B49"/>
    <w:multiLevelType w:val="singleLevel"/>
    <w:tmpl w:val="ECE40B49"/>
    <w:lvl w:ilvl="0" w:tentative="0">
      <w:start w:val="1"/>
      <w:numFmt w:val="decimal"/>
      <w:suff w:val="nothing"/>
      <w:lvlText w:val="（%1）"/>
      <w:lvlJc w:val="left"/>
    </w:lvl>
  </w:abstractNum>
  <w:abstractNum w:abstractNumId="1">
    <w:nsid w:val="00000000"/>
    <w:multiLevelType w:val="multilevel"/>
    <w:tmpl w:val="00000000"/>
    <w:lvl w:ilvl="0" w:tentative="0">
      <w:start w:val="2"/>
      <w:numFmt w:val="japaneseCounting"/>
      <w:lvlText w:val="第%1条"/>
      <w:lvlJc w:val="left"/>
      <w:pPr>
        <w:tabs>
          <w:tab w:val="left" w:pos="855"/>
        </w:tabs>
        <w:ind w:left="855" w:hanging="855"/>
      </w:pPr>
      <w:rPr>
        <w:rFonts w:hint="default"/>
        <w:u w:val="no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97C5D13"/>
    <w:multiLevelType w:val="singleLevel"/>
    <w:tmpl w:val="197C5D13"/>
    <w:lvl w:ilvl="0" w:tentative="0">
      <w:start w:val="1"/>
      <w:numFmt w:val="decimal"/>
      <w:suff w:val="nothing"/>
      <w:lvlText w:val="%1、"/>
      <w:lvlJc w:val="left"/>
    </w:lvl>
  </w:abstractNum>
  <w:abstractNum w:abstractNumId="3">
    <w:nsid w:val="72083315"/>
    <w:multiLevelType w:val="singleLevel"/>
    <w:tmpl w:val="72083315"/>
    <w:lvl w:ilvl="0" w:tentative="0">
      <w:start w:val="4"/>
      <w:numFmt w:val="chineseCounting"/>
      <w:suff w:val="space"/>
      <w:lvlText w:val="第%1章"/>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kOTNiNDIxZjBiZDViNTU5ZTQyMjQzNjk4YjFlMmQifQ=="/>
  </w:docVars>
  <w:rsids>
    <w:rsidRoot w:val="00000000"/>
    <w:rsid w:val="00411B1D"/>
    <w:rsid w:val="007A093C"/>
    <w:rsid w:val="086871F6"/>
    <w:rsid w:val="08D63DF3"/>
    <w:rsid w:val="09427DE0"/>
    <w:rsid w:val="094D4273"/>
    <w:rsid w:val="0BC72086"/>
    <w:rsid w:val="0E80469E"/>
    <w:rsid w:val="0ECA203A"/>
    <w:rsid w:val="121270F0"/>
    <w:rsid w:val="13DE6C63"/>
    <w:rsid w:val="148039BE"/>
    <w:rsid w:val="23B42EB3"/>
    <w:rsid w:val="24684FA4"/>
    <w:rsid w:val="251740DD"/>
    <w:rsid w:val="26A83EF2"/>
    <w:rsid w:val="28E63760"/>
    <w:rsid w:val="2E460E7B"/>
    <w:rsid w:val="35DA695D"/>
    <w:rsid w:val="394A3F2C"/>
    <w:rsid w:val="3A046AF8"/>
    <w:rsid w:val="3CBB23F2"/>
    <w:rsid w:val="3D504AB9"/>
    <w:rsid w:val="3F3250D1"/>
    <w:rsid w:val="40D610EA"/>
    <w:rsid w:val="440004C3"/>
    <w:rsid w:val="47EA102E"/>
    <w:rsid w:val="4F436FA5"/>
    <w:rsid w:val="50412184"/>
    <w:rsid w:val="50DC2977"/>
    <w:rsid w:val="523453DB"/>
    <w:rsid w:val="5F0C3ABB"/>
    <w:rsid w:val="63051851"/>
    <w:rsid w:val="66336A4A"/>
    <w:rsid w:val="66B9551B"/>
    <w:rsid w:val="673E0CDB"/>
    <w:rsid w:val="6D347075"/>
    <w:rsid w:val="719D137B"/>
    <w:rsid w:val="72E63D62"/>
    <w:rsid w:val="7A476226"/>
    <w:rsid w:val="7D3154B6"/>
    <w:rsid w:val="7D840D33"/>
    <w:rsid w:val="7F5360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3">
    <w:name w:val="heading 1"/>
    <w:basedOn w:val="1"/>
    <w:next w:val="1"/>
    <w:qFormat/>
    <w:uiPriority w:val="1"/>
    <w:pPr>
      <w:spacing w:line="360" w:lineRule="auto"/>
      <w:ind w:left="204"/>
      <w:jc w:val="center"/>
      <w:outlineLvl w:val="0"/>
    </w:pPr>
    <w:rPr>
      <w:b/>
      <w:bCs/>
      <w:sz w:val="32"/>
      <w:szCs w:val="43"/>
    </w:rPr>
  </w:style>
  <w:style w:type="paragraph" w:styleId="2">
    <w:name w:val="heading 2"/>
    <w:basedOn w:val="1"/>
    <w:next w:val="1"/>
    <w:qFormat/>
    <w:uiPriority w:val="1"/>
    <w:pPr>
      <w:spacing w:line="360" w:lineRule="auto"/>
      <w:ind w:left="0"/>
      <w:jc w:val="center"/>
      <w:outlineLvl w:val="1"/>
    </w:pPr>
    <w:rPr>
      <w:b/>
      <w:bCs/>
      <w:sz w:val="30"/>
      <w:szCs w:val="31"/>
    </w:rPr>
  </w:style>
  <w:style w:type="paragraph" w:styleId="4">
    <w:name w:val="heading 3"/>
    <w:basedOn w:val="1"/>
    <w:next w:val="1"/>
    <w:qFormat/>
    <w:uiPriority w:val="1"/>
    <w:pPr>
      <w:spacing w:line="360" w:lineRule="auto"/>
      <w:ind w:left="0" w:firstLine="400" w:firstLineChars="200"/>
      <w:jc w:val="left"/>
      <w:outlineLvl w:val="2"/>
    </w:pPr>
    <w:rPr>
      <w:b/>
      <w:bCs/>
      <w:sz w:val="24"/>
      <w:szCs w:val="30"/>
    </w:rPr>
  </w:style>
  <w:style w:type="paragraph" w:styleId="5">
    <w:name w:val="heading 4"/>
    <w:basedOn w:val="1"/>
    <w:next w:val="1"/>
    <w:qFormat/>
    <w:uiPriority w:val="1"/>
    <w:pPr>
      <w:spacing w:before="18"/>
      <w:ind w:left="126"/>
      <w:outlineLvl w:val="4"/>
    </w:pPr>
    <w:rPr>
      <w:rFonts w:ascii="宋体" w:hAnsi="宋体" w:eastAsia="宋体" w:cs="宋体"/>
      <w:b/>
      <w:bCs/>
      <w:sz w:val="28"/>
      <w:szCs w:val="28"/>
    </w:rPr>
  </w:style>
  <w:style w:type="paragraph" w:styleId="6">
    <w:name w:val="heading 5"/>
    <w:basedOn w:val="1"/>
    <w:next w:val="1"/>
    <w:qFormat/>
    <w:uiPriority w:val="1"/>
    <w:pPr>
      <w:ind w:left="126"/>
      <w:outlineLvl w:val="5"/>
    </w:pPr>
    <w:rPr>
      <w:rFonts w:ascii="宋体" w:hAnsi="宋体" w:eastAsia="宋体" w:cs="宋体"/>
      <w:sz w:val="24"/>
      <w:szCs w:val="24"/>
    </w:rPr>
  </w:style>
  <w:style w:type="paragraph" w:styleId="7">
    <w:name w:val="heading 6"/>
    <w:basedOn w:val="1"/>
    <w:next w:val="1"/>
    <w:qFormat/>
    <w:uiPriority w:val="1"/>
    <w:pPr>
      <w:ind w:left="106"/>
      <w:outlineLvl w:val="6"/>
    </w:pPr>
    <w:rPr>
      <w:rFonts w:ascii="宋体" w:hAnsi="宋体" w:eastAsia="宋体" w:cs="宋体"/>
      <w:b/>
      <w:bCs/>
      <w:sz w:val="21"/>
      <w:szCs w:val="21"/>
    </w:rPr>
  </w:style>
  <w:style w:type="paragraph" w:styleId="8">
    <w:name w:val="heading 7"/>
    <w:basedOn w:val="1"/>
    <w:next w:val="1"/>
    <w:unhideWhenUsed/>
    <w:qFormat/>
    <w:uiPriority w:val="0"/>
    <w:pPr>
      <w:keepNext/>
      <w:keepLines/>
      <w:spacing w:before="240" w:beforeLines="0" w:beforeAutospacing="0" w:after="64" w:afterLines="0" w:afterAutospacing="0" w:line="317" w:lineRule="auto"/>
      <w:outlineLvl w:val="6"/>
    </w:pPr>
    <w:rPr>
      <w:b/>
      <w:sz w:val="24"/>
    </w:rPr>
  </w:style>
  <w:style w:type="character" w:default="1" w:styleId="21">
    <w:name w:val="Default Paragraph Font"/>
    <w:autoRedefine/>
    <w:semiHidden/>
    <w:unhideWhenUsed/>
    <w:qFormat/>
    <w:uiPriority w:val="1"/>
  </w:style>
  <w:style w:type="table" w:default="1" w:styleId="20">
    <w:name w:val="Normal Table"/>
    <w:autoRedefine/>
    <w:semiHidden/>
    <w:qFormat/>
    <w:uiPriority w:val="0"/>
    <w:tblPr>
      <w:tblCellMar>
        <w:top w:w="0" w:type="dxa"/>
        <w:left w:w="108" w:type="dxa"/>
        <w:bottom w:w="0" w:type="dxa"/>
        <w:right w:w="108" w:type="dxa"/>
      </w:tblCellMar>
    </w:tblPr>
  </w:style>
  <w:style w:type="paragraph" w:styleId="9">
    <w:name w:val="annotation text"/>
    <w:basedOn w:val="1"/>
    <w:autoRedefine/>
    <w:qFormat/>
    <w:uiPriority w:val="0"/>
    <w:pPr>
      <w:jc w:val="left"/>
    </w:pPr>
  </w:style>
  <w:style w:type="paragraph" w:styleId="10">
    <w:name w:val="Body Text"/>
    <w:basedOn w:val="1"/>
    <w:autoRedefine/>
    <w:qFormat/>
    <w:uiPriority w:val="1"/>
    <w:rPr>
      <w:rFonts w:ascii="宋体" w:hAnsi="宋体" w:eastAsia="宋体" w:cs="宋体"/>
      <w:sz w:val="21"/>
      <w:szCs w:val="21"/>
    </w:rPr>
  </w:style>
  <w:style w:type="paragraph" w:styleId="11">
    <w:name w:val="Body Text Indent"/>
    <w:basedOn w:val="1"/>
    <w:next w:val="12"/>
    <w:autoRedefine/>
    <w:qFormat/>
    <w:uiPriority w:val="0"/>
    <w:pPr>
      <w:spacing w:after="120" w:afterLines="0" w:afterAutospacing="0"/>
      <w:ind w:left="420" w:leftChars="200"/>
    </w:pPr>
  </w:style>
  <w:style w:type="paragraph" w:styleId="12">
    <w:name w:val="envelope return"/>
    <w:basedOn w:val="1"/>
    <w:autoRedefine/>
    <w:qFormat/>
    <w:uiPriority w:val="0"/>
    <w:pPr>
      <w:snapToGrid w:val="0"/>
    </w:pPr>
    <w:rPr>
      <w:rFonts w:ascii="Arial" w:hAnsi="Arial"/>
    </w:rPr>
  </w:style>
  <w:style w:type="paragraph" w:styleId="13">
    <w:name w:val="Plain Text"/>
    <w:basedOn w:val="1"/>
    <w:autoRedefine/>
    <w:qFormat/>
    <w:uiPriority w:val="0"/>
    <w:rPr>
      <w:rFonts w:ascii="宋体"/>
      <w:color w:val="000000"/>
      <w:szCs w:val="20"/>
      <w:u w:val="none" w:color="000000"/>
    </w:rPr>
  </w:style>
  <w:style w:type="paragraph" w:styleId="14">
    <w:name w:val="footer"/>
    <w:basedOn w:val="1"/>
    <w:autoRedefine/>
    <w:qFormat/>
    <w:uiPriority w:val="0"/>
    <w:pPr>
      <w:tabs>
        <w:tab w:val="center" w:pos="4153"/>
        <w:tab w:val="right" w:pos="8306"/>
      </w:tabs>
      <w:snapToGrid w:val="0"/>
      <w:jc w:val="left"/>
    </w:pPr>
    <w:rPr>
      <w:sz w:val="18"/>
      <w:szCs w:val="18"/>
    </w:rPr>
  </w:style>
  <w:style w:type="paragraph" w:styleId="1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autoRedefine/>
    <w:qFormat/>
    <w:uiPriority w:val="0"/>
  </w:style>
  <w:style w:type="paragraph" w:styleId="17">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18">
    <w:name w:val="Body Text First Indent"/>
    <w:basedOn w:val="10"/>
    <w:autoRedefine/>
    <w:unhideWhenUsed/>
    <w:qFormat/>
    <w:uiPriority w:val="99"/>
    <w:pPr>
      <w:tabs>
        <w:tab w:val="left" w:pos="1158"/>
        <w:tab w:val="left" w:pos="1544"/>
      </w:tabs>
      <w:spacing w:line="360" w:lineRule="auto"/>
      <w:ind w:firstLine="420" w:firstLineChars="100"/>
    </w:pPr>
    <w:rPr>
      <w:szCs w:val="21"/>
    </w:rPr>
  </w:style>
  <w:style w:type="paragraph" w:styleId="19">
    <w:name w:val="Body Text First Indent 2"/>
    <w:basedOn w:val="11"/>
    <w:autoRedefine/>
    <w:qFormat/>
    <w:uiPriority w:val="0"/>
    <w:pPr>
      <w:ind w:firstLine="420" w:firstLineChars="200"/>
    </w:pPr>
  </w:style>
  <w:style w:type="character" w:styleId="22">
    <w:name w:val="Strong"/>
    <w:basedOn w:val="21"/>
    <w:autoRedefine/>
    <w:qFormat/>
    <w:uiPriority w:val="0"/>
    <w:rPr>
      <w:b/>
      <w:bCs/>
    </w:rPr>
  </w:style>
  <w:style w:type="table" w:customStyle="1" w:styleId="23">
    <w:name w:val="Table Normal"/>
    <w:autoRedefine/>
    <w:semiHidden/>
    <w:unhideWhenUsed/>
    <w:qFormat/>
    <w:uiPriority w:val="2"/>
    <w:tblPr>
      <w:tblCellMar>
        <w:top w:w="0" w:type="dxa"/>
        <w:left w:w="0" w:type="dxa"/>
        <w:bottom w:w="0" w:type="dxa"/>
        <w:right w:w="0" w:type="dxa"/>
      </w:tblCellMar>
    </w:tblPr>
  </w:style>
  <w:style w:type="paragraph" w:styleId="24">
    <w:name w:val="List Paragraph"/>
    <w:basedOn w:val="1"/>
    <w:autoRedefine/>
    <w:qFormat/>
    <w:uiPriority w:val="1"/>
    <w:pPr>
      <w:ind w:left="106" w:firstLine="421"/>
    </w:pPr>
    <w:rPr>
      <w:rFonts w:ascii="宋体" w:hAnsi="宋体" w:eastAsia="宋体" w:cs="宋体"/>
    </w:rPr>
  </w:style>
  <w:style w:type="paragraph" w:customStyle="1" w:styleId="25">
    <w:name w:val="Table Paragraph"/>
    <w:basedOn w:val="1"/>
    <w:autoRedefine/>
    <w:qFormat/>
    <w:uiPriority w:val="1"/>
    <w:rPr>
      <w:rFonts w:ascii="宋体" w:hAnsi="宋体" w:eastAsia="宋体" w:cs="宋体"/>
    </w:rPr>
  </w:style>
  <w:style w:type="paragraph" w:customStyle="1" w:styleId="26">
    <w:name w:val="正文 New"/>
    <w:autoRedefine/>
    <w:qFormat/>
    <w:uiPriority w:val="99"/>
    <w:pPr>
      <w:widowControl w:val="0"/>
      <w:spacing w:line="440" w:lineRule="exact"/>
      <w:ind w:left="357" w:hanging="357"/>
      <w:jc w:val="both"/>
    </w:pPr>
    <w:rPr>
      <w:rFonts w:ascii="Calibri" w:hAnsi="Calibri" w:eastAsia="宋体" w:cs="Times New Roman"/>
      <w:kern w:val="2"/>
      <w:sz w:val="21"/>
      <w:szCs w:val="22"/>
      <w:lang w:val="en-US" w:eastAsia="zh-CN" w:bidi="ar-SA"/>
    </w:rPr>
  </w:style>
  <w:style w:type="paragraph" w:customStyle="1" w:styleId="27">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28">
    <w:name w:val="节标题"/>
    <w:basedOn w:val="1"/>
    <w:next w:val="1"/>
    <w:autoRedefine/>
    <w:qFormat/>
    <w:uiPriority w:val="0"/>
    <w:pPr>
      <w:widowControl/>
      <w:spacing w:line="289" w:lineRule="atLeast"/>
      <w:jc w:val="center"/>
      <w:textAlignment w:val="baseline"/>
    </w:pPr>
    <w:rPr>
      <w:color w:val="000000"/>
      <w:kern w:val="0"/>
      <w:sz w:val="28"/>
      <w:szCs w:val="20"/>
      <w:u w:val="none" w:color="000000"/>
    </w:rPr>
  </w:style>
  <w:style w:type="paragraph" w:customStyle="1" w:styleId="29">
    <w:name w:val="WPSOffice手动目录 1"/>
    <w:autoRedefine/>
    <w:qFormat/>
    <w:uiPriority w:val="0"/>
    <w:pPr>
      <w:ind w:leftChars="0"/>
    </w:pPr>
    <w:rPr>
      <w:rFonts w:asciiTheme="minorHAnsi" w:hAnsiTheme="minorHAnsi" w:eastAsiaTheme="minorHAnsi"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ScaleCrop>false</ScaleCrop>
  <LinksUpToDate>false</LinksUpToDate>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2019-12-09T09:27:00Z</dcterms:created>
  <dc:creator>微软用户</dc:creator>
  <cp:lastModifiedBy>净荷</cp:lastModifiedBy>
  <cp:lastPrinted>2020-04-26T02:56:00Z</cp:lastPrinted>
  <dcterms:modified xsi:type="dcterms:W3CDTF">2024-03-11T08:40:54Z</dcterms:modified>
  <dc:title>施工监理</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2019-12-05T00:00:00Z</vt:filetime>
  </property>
  <property fmtid="{D5CDD505-2E9C-101B-9397-08002B2CF9AE}" pid="3" name="Creator">
    <vt:lpwstr>Microsoft® Word 2010</vt:lpwstr>
  </property>
  <property fmtid="{D5CDD505-2E9C-101B-9397-08002B2CF9AE}" pid="4" name="LastSaved">
    <vt:filetime>2019-12-09T00:00:00Z</vt:filetime>
  </property>
  <property fmtid="{D5CDD505-2E9C-101B-9397-08002B2CF9AE}" pid="5" name="KSOProductBuildVer">
    <vt:lpwstr>2052-12.1.0.16388</vt:lpwstr>
  </property>
  <property fmtid="{D5CDD505-2E9C-101B-9397-08002B2CF9AE}" pid="6" name="ICV">
    <vt:lpwstr>2784AFB8166C4D518DF445A658650DEB_13</vt:lpwstr>
  </property>
</Properties>
</file>